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EF268">
      <w:pPr>
        <w:spacing w:line="360" w:lineRule="exact"/>
        <w:rPr>
          <w:rFonts w:ascii="方正小标宋简体" w:hAnsi="方正小标宋简体" w:eastAsia="黑体" w:cs="方正小标宋简体"/>
          <w:kern w:val="0"/>
          <w:sz w:val="32"/>
          <w:szCs w:val="32"/>
          <w:lang w:bidi="ar"/>
        </w:rPr>
      </w:pPr>
      <w:r>
        <w:rPr>
          <w:rFonts w:hint="eastAsia" w:ascii="黑体" w:hAnsi="宋体" w:eastAsia="黑体" w:cs="黑体"/>
          <w:kern w:val="0"/>
          <w:sz w:val="32"/>
          <w:szCs w:val="32"/>
          <w:lang w:bidi="ar"/>
        </w:rPr>
        <w:t>附件</w:t>
      </w:r>
      <w:r>
        <w:rPr>
          <w:rFonts w:hint="eastAsia" w:ascii="黑体" w:hAnsi="宋体" w:eastAsia="黑体" w:cs="黑体"/>
          <w:kern w:val="0"/>
          <w:sz w:val="32"/>
          <w:szCs w:val="32"/>
          <w:lang w:val="en-US" w:eastAsia="zh-CN" w:bidi="ar"/>
        </w:rPr>
        <w:t>3</w:t>
      </w:r>
      <w:r>
        <w:rPr>
          <w:rFonts w:hint="eastAsia" w:ascii="黑体" w:hAnsi="宋体" w:eastAsia="黑体" w:cs="黑体"/>
          <w:kern w:val="0"/>
          <w:sz w:val="32"/>
          <w:szCs w:val="32"/>
          <w:lang w:bidi="ar"/>
        </w:rPr>
        <w:t>-1</w:t>
      </w:r>
    </w:p>
    <w:p w14:paraId="2A4720EE">
      <w:pPr>
        <w:spacing w:after="156" w:afterLines="50" w:line="600" w:lineRule="exact"/>
        <w:jc w:val="center"/>
        <w:rPr>
          <w:rFonts w:hint="eastAsia" w:ascii="方正小标宋简体" w:hAnsi="方正小标宋简体" w:eastAsia="方正小标宋简体" w:cs="方正小标宋简体"/>
          <w:kern w:val="0"/>
          <w:sz w:val="44"/>
          <w:szCs w:val="44"/>
          <w:lang w:bidi="ar"/>
        </w:rPr>
      </w:pPr>
      <w:r>
        <w:rPr>
          <w:rFonts w:hint="eastAsia" w:ascii="方正小标宋简体" w:hAnsi="方正小标宋简体" w:eastAsia="方正小标宋简体" w:cs="方正小标宋简体"/>
          <w:kern w:val="0"/>
          <w:sz w:val="44"/>
          <w:szCs w:val="44"/>
          <w:lang w:bidi="ar"/>
        </w:rPr>
        <w:t>常德市</w:t>
      </w:r>
      <w:r>
        <w:rPr>
          <w:rFonts w:hint="eastAsia" w:ascii="方正小标宋简体" w:hAnsi="方正小标宋简体" w:eastAsia="方正小标宋简体" w:cs="方正小标宋简体"/>
          <w:kern w:val="0"/>
          <w:sz w:val="44"/>
          <w:szCs w:val="44"/>
          <w:lang w:val="en-US" w:eastAsia="zh-CN" w:bidi="ar"/>
        </w:rPr>
        <w:t>物理治疗类</w:t>
      </w:r>
      <w:r>
        <w:rPr>
          <w:rFonts w:hint="eastAsia" w:ascii="方正小标宋简体" w:hAnsi="方正小标宋简体" w:eastAsia="方正小标宋简体" w:cs="方正小标宋简体"/>
          <w:kern w:val="0"/>
          <w:sz w:val="44"/>
          <w:szCs w:val="44"/>
          <w:lang w:bidi="ar"/>
        </w:rPr>
        <w:t>医疗服务项目价格表</w:t>
      </w:r>
    </w:p>
    <w:tbl>
      <w:tblPr>
        <w:tblStyle w:val="2"/>
        <w:tblW w:w="15398" w:type="dxa"/>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
      <w:tblGrid>
        <w:gridCol w:w="438"/>
        <w:gridCol w:w="1631"/>
        <w:gridCol w:w="1455"/>
        <w:gridCol w:w="2000"/>
        <w:gridCol w:w="2078"/>
        <w:gridCol w:w="735"/>
        <w:gridCol w:w="553"/>
        <w:gridCol w:w="700"/>
        <w:gridCol w:w="1597"/>
        <w:gridCol w:w="720"/>
        <w:gridCol w:w="765"/>
        <w:gridCol w:w="765"/>
        <w:gridCol w:w="720"/>
        <w:gridCol w:w="615"/>
        <w:gridCol w:w="626"/>
      </w:tblGrid>
      <w:tr w14:paraId="560E5E9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1E466C">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7A7E05">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7B6220">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1A8952">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A83541">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4CB4AF">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加收项</w:t>
            </w: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96A0B5">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扩展项</w:t>
            </w: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BEBDD4">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计价单位</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5C323A">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677BB0F3">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6C5647">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ECDA6D">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11BF13">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32CF96">
            <w:pPr>
              <w:widowControl/>
              <w:spacing w:line="240" w:lineRule="exact"/>
              <w:jc w:val="center"/>
              <w:textAlignment w:val="center"/>
              <w:rPr>
                <w:rStyle w:val="4"/>
                <w:rFonts w:ascii="宋体" w:hAnsi="宋体"/>
                <w:color w:val="auto"/>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3037F1">
            <w:pPr>
              <w:widowControl/>
              <w:jc w:val="center"/>
              <w:textAlignment w:val="center"/>
              <w:rPr>
                <w:rFonts w:hint="eastAsia" w:ascii="宋体" w:hAnsi="宋体" w:cs="宋体"/>
                <w:b/>
                <w:bCs/>
                <w:kern w:val="0"/>
                <w:sz w:val="20"/>
                <w:szCs w:val="20"/>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F6AC20">
            <w:pPr>
              <w:widowControl/>
              <w:jc w:val="center"/>
              <w:textAlignment w:val="center"/>
              <w:rPr>
                <w:rFonts w:hint="eastAsia" w:ascii="宋体" w:hAnsi="宋体" w:cs="宋体"/>
                <w:b/>
                <w:bCs/>
                <w:kern w:val="0"/>
                <w:sz w:val="20"/>
                <w:szCs w:val="20"/>
              </w:rPr>
            </w:pPr>
            <w:r>
              <w:rPr>
                <w:rFonts w:hint="eastAsia" w:ascii="宋体" w:hAnsi="宋体" w:cs="宋体"/>
                <w:b/>
                <w:bCs/>
                <w:kern w:val="0"/>
                <w:sz w:val="20"/>
                <w:szCs w:val="20"/>
                <w:lang w:bidi="ar"/>
              </w:rPr>
              <w:t>自付比例</w:t>
            </w:r>
          </w:p>
        </w:tc>
      </w:tr>
      <w:tr w14:paraId="3639F53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4BF3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8365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67EA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电刺激治疗费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54FB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通过电流作用于体表或腔内对局部组织进行治疗。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86FA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所定价格涵盖体位摆放、设备准备、消毒、设定参数、治疗、观察记录、处理用物等步骤所需的人力资源、设备成本与基本物质资源消耗。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C69E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138D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A948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D094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1.“次”指20分钟，不足20分钟按照1次计费。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2.每日收费不超过4次。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15186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4055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41421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E25D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4AB0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B923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2B3CD84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9E26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516F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BB0C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电化学治疗费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3FE4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通过电刺激诱导产生电化学反应对局部组织进行治疗。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0779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所定价格涵盖体位摆放、设备准备、消毒、设定参数、治疗、观察记录、处理用物，必要时穿刺等步骤所需的人力资源、设备成本与基本物质资源消耗。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18F9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CF50F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8F18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8D7B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1.“次”指20分钟，不足20分钟按照1次计费。                         2.每日收费不超过4次。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E1129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5C92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4AEBD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7C0F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B66C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C6E8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07710BE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479F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420D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015300000030000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2B2C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电场治疗费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87D0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通过静电场或其它方式产生的电场对局部组织进行治疗。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C60B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所定价格涵盖体位摆放、设备准备、消毒、设定参数、治疗、观察记录、处理用物等步骤所需的人力资源、设备成本与基本物质资源消耗。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4C6A5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25E49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9980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3472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1.“次”指20分钟，不足20分钟按照1次计费。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2.每日收费不超过4次。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30F6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FB7E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7D69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15C3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E03A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DEAC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2788175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DB88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8AC6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015300000040000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2C2D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电火花共鸣治疗费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A237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通过火花放电产生高频电振荡作用于局部组织进行治疗。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70A7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所定价格涵盖体位摆放、设备准备、消毒、设定参数、治疗、观察记录、处理用物等步骤所需的人力资源、设备成本与基本物质资源消耗。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88F5F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C9E94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7EEC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02A0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1.“次”指20分钟，不足20分钟按照1次计费。                       2.每日收费不超过4次。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BE633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020B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A6CE5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5BEF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DB23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6150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2095FD1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D4756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0B406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844383">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30AFBB">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A66315">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EFEDE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5F7CB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74CD4D">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计价单位</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15D9BB">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145B85B9">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8037BF">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0315B6">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DA98B7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C8BD5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F28D0A">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7ACCED">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lang w:bidi="ar"/>
              </w:rPr>
              <w:t>自付比例</w:t>
            </w:r>
          </w:p>
        </w:tc>
      </w:tr>
      <w:tr w14:paraId="1C5993E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0811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A3B1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015300000050000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25DB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电凝治疗费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C98B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通过使用电凝探头烧灼病变部位对浅表组织进行治疗。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FD87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所定价格涵盖体位摆放、设备准备、消毒、设定参数、烧灼病变部位、创面止血、观察记录、处理用物等步骤所需的人力资源、设备成本与基本物质资源消耗。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785FA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A53D4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B0EF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病灶</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E0F2F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1BDBA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1D93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5BBC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C666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F4EB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74EB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2ED0B8E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B6BD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A15D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015300000060000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4B7D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光敏治疗费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1FF6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使用光敏剂配合进行体表的光源治疗。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DC6B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所定价格涵盖体位摆放、设备准备、消毒、口服或涂抹光敏剂、设定参数、照射、观察记录、处理用物等步骤所需的人力资源、设备成本与基本物质资源消耗。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C4885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09690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418F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每照射区</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3E6B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全身照射按照3个照射区计费。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205A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6388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EE92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6942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4B21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74B2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14397D6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CEBA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8C45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015300000070000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1948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光动力治疗费（浅表）</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39A4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使用光源照射进行体表或浅表病变的光敏感药物治疗。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DDA5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所定价格涵盖体位摆放、设备准备、消毒、外敷、输注或灌注光敏剂、设定参数、照射、观察记录、处理用物等步骤所需的人力资源、设备成本与基本物质资源消耗。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F51CE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7C5FA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8E6A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部位</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B2FD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腔道粘膜病变按浅表收费。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99C84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C7F2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A8A8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0511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209</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2856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6D82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691F078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F311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635C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015300000080000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4A83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光动力治疗费（深部）</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61D5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使用光源照射进行深部病灶或肿瘤的光敏感药物治疗。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3DB3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所定价格涵盖体位摆放、设备准备、消毒、输注或灌注光敏剂、设定参数、照射、观察记录、处理用物等步骤所需的人力资源、设备成本与基本物质资源消耗。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96616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3B71F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427E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部位</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0C79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腔道粘膜肿瘤按深部收费。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DCE6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702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942A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632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04AB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5BB6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455</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F359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DA72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44BF630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5169B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D56BF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20CB8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9612A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519C3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11DC5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96C57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3BC94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8E05E0">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2C9953B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9DA3F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C6FB3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593EA2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89C59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E6569E">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BE2796">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7D9E6FE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8B58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418A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015300000090000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A3AB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紫外线照射治疗费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105D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通过紫外线照射进行体表治疗。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146C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所定价格涵盖体位摆放、设备准备、消毒、设定参数、照射、观察记录、处理用物等步骤所需的人力资源、设备成本与基本物质资源消耗。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CB3C1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B83D8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10CA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D481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全身按2次计价。                       2.每日收费不超过3次。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D719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84C8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3436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241F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634B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0378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5825C8F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AC9A7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A184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015300000090100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2178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紫外线照射治疗费-白斑紫外线照射治疗（扩展）</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499E6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69F2C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3A7EC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BA50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01白斑紫外线照射治疗</w:t>
            </w: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7BC1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6B629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A9211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A0D4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1E1AF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5086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A8D22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EA22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7634185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364A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4A94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015300000100000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F036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可见光照射治疗费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3A89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通过可见光照射进行体表治疗。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088B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所定价格涵盖体位摆放、设备准备、消毒、设定参数、照射、观察记录、处理用物等步骤所需的人力资源、设备成本与基本物质资源消耗。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1C77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13CE4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E6FA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D3A9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每日收费不超过4次。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1B62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2B1B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968F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B075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3BAD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49FC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41AA630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0566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65C3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015300000110000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EC2E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红外线照射治疗费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1220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通过红外线照射进行体表治疗。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F385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所定价格涵盖体位摆放、设备准备、消毒、设定参数、照射、观察记录、处理用物等步骤所需的人力资源、设备成本与基本物质资源消耗。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A2DC7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72190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84C6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18BA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每日收费不超过4次。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85D61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ABE9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4BF4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2944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E571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9FE4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3928893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6503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1B73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015300000120000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3B1D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激光治疗费（理疗）</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A6CA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通过不同强度的激光光束作用于体表进行无创治疗或理疗。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C0D2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所定价格涵盖体位摆放、设备准备、消毒、设定参数、照射、观察记录、处理用物等步骤所需的人力资源、设备成本与基本物质资源消耗。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54E61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ABAB9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AE46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7909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每日收费不超过4次。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99828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AEBC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00774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9B88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C495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E598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1B970B4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1943D6">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E92DA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C46E43">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FD949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9728BE">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C3CAF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14321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4533A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计价单位</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5B0E36">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710D551B">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138A3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13E5EE">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41ABD7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E3E34A">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C1A771">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32BAA2">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lang w:bidi="ar"/>
              </w:rPr>
              <w:t>自付比例</w:t>
            </w:r>
          </w:p>
        </w:tc>
      </w:tr>
      <w:tr w14:paraId="5A523F4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3C97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04A7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015300000130000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1E54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激光治疗费（浅表照射）</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5AFE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通过不同强度的激光光束作用于体表或者腔内进行病变治疗。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C286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所定价格涵盖体位摆放、设备准备、消毒、设定参数、照射、观察记录、处理用物等步骤所需的人力资源、设备成本与基本物质资源消耗。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4A35C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E3098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A78A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每病损</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77F4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1.每增加1个病损逐个递增计价，超过5个病损按5个病损计费。                                                                                                                                  2.每个病损以9平方厘米（含9平方厘米内有多个病损的）为基础计价，不足9平方厘米按一个计价，每增加一个病损按100%加收。</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EDAB7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CBFD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6ED73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C26A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72CD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1952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5A30E27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04FC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3839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015300000140000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8025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磁疗费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F732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通过磁场作用于局部组织进行治疗。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5C8C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所定价格涵盖体位摆放、设备准备、放置磁极、设定参数、治疗、观察记录、处理用物等步骤所需的人力资源、设备成本与基本物质资源消耗。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670CF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9985A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DA6A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76DF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1.“次”指20分钟，不足20分钟按照1次计费。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2.全身磁疗按照3次费用计价。</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2CF09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E9F0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591F7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813A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F2D9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9BF1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01BE963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905F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FA10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015300000150000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1A83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热疗费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4BD3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通过传热介质或设备产生温热效应进行治疗。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1AD9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所定价格涵盖体位摆放、准备、消毒、治疗、观察记录、处理用物等步骤所需的人力资源、设备成本与基本物质资源消耗。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2BBB5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1B912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2777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DE4B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1.“次”指20分钟，不足20分钟按照1次计费。                         2.每日收费不超过4次。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8B14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B0BB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3676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F46C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05C8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2B4E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2F10B91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9BF5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48C5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015300000160000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34A8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冷疗费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5DB4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通过冷介质 (包含冰袋、冷疗包等)或专业设备实施的局部低温治疗。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281F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所定价格涵盖体位摆放、设备准备、设定参数、治疗、观察记录、处理用物等步骤所需的人力资源、设备成本与基本物质资源消耗。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91A85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DA678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0280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109B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1.“次”指20分钟，不足20分钟按照1次计费。                        2.每日收费不超过4次。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D1FF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90A7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34B8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9DD2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0FD3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BCC4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45A53C0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87B57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013E2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66A2B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76C16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62692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3992A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9DA19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C23EC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312576">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47380D2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1E3C55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74361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78736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95F4B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C87A26">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FDAF17">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23ED3BE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C83E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A20F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015300000170000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9554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冲击波治疗费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9AD0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通过体外冲击波设备向特定部位传递不同能量的冲击波作用于局部组织进行治疗。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0391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所定价格涵盖体位摆放、设备准备、设定参数、治疗、观察记录、处理用物等步骤所需的人力资源、设备成本与基本物质资源消耗。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74FA8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C9666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F0C4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部位</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0D84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单次收费不超过700元。</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18486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2044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4D1D3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2357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62</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E4B4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2DB6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633179A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CCBE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D30D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015300000180000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E0A1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水疗费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31E0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通过在浸浴、淋浴、气泡浴、旋涡浴等各种水疗浴槽中，利用水的物理特性进行治疗。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F622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所定价格涵盖体位摆放、水浴准备、浸泡治疗、观察记录、处理用物等步骤所需的人力资源、设备成本与基本物质资源消耗。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0238D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63C6E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DFC0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D603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不足10分钟不计费，超过10分钟按照1次计费。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FB56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0DFC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4C71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C8E9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A964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8DDC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5BD20A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1DA9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44DB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015300000190000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E09F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气压治疗费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38D8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采用正压/负压等不同压力方式作用于局部进行治疗。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B271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所定价格涵盖体位摆放、设备准备、设定参数、压力治疗、观察记录、处理用物等步骤所需的人力资源、设备成本与基本物质资源消耗。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9C990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D3AB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10E1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单肢</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0F216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A4220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827E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70F5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F532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1F42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C123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3F07C89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F594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7B99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015300000200000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A5CF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牵引治疗费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CF9B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采用牵引装置，通过调整牵引力及牵引方式进行治疗。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3DC9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所定价格涵盖体位摆放、设备准备、实时监测与反馈、观察记录、处理用物等步骤所需的人力资源、设备成本与基本物质资源消耗。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9A135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4CB48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09F0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BF13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5FAB4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FAB5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005DC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2182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673F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9043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0%</w:t>
            </w:r>
          </w:p>
        </w:tc>
      </w:tr>
      <w:tr w14:paraId="3A6C88C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8EFC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9104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015300000210000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F0EE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射频电疗费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D23E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通过射频设备作用于局部组织进行治疗。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E457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所定价格涵盖体位摆放、设备准备、消毒、设定参数、治疗、观察记录、处理用物等步骤所需的人力资源、设备成本与基本物质资源消耗。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7596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F77E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E24A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D9FB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每日收费不超过4次。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B6BD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6D0A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FC4E0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774B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BA12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C0CE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7CF2514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5F072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E1D0A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9CF6DC">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102319">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32802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AD64B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06DD0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5AC17E">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计价单位</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7A4C0C">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770CB65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EF7FCA">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3A2A0C">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290B6EB">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2286E6">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E95317">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3B6AAE">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lang w:bidi="ar"/>
              </w:rPr>
              <w:t>自付比例</w:t>
            </w:r>
          </w:p>
        </w:tc>
      </w:tr>
      <w:tr w14:paraId="696DF28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354E36">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1FCCE5">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015300000220000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21092C">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超短波/短波治疗费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EA47C1">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通过超短波/短波设备作用于局部组织进行治疗。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EE6BCA">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所定价格涵盖体位摆放、设备准备、消毒、设定参数、治疗、观察记录、处理用物等步骤所需的人力资源、设备成本与基本物质资源消耗。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DC7DE4">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5159BE">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28E639">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AC8A60">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A5C1827">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8D937F">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CE45F5A">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B32961">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34C5D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1E19A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2EB3EEE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1F8861">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0B8BB3">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013404000010000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4A39D5">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深部热疗费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F5DE50">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采用超声或电磁波，配合其他治疗或单独治疗手段对相应病变部位进行治疗。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7AEC82">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所定价格涵盖体位摆放、设备准备、消毒、设定参数、穿刺、热治疗、实时测温、观察记录、处理用物等步骤所需的人力资源、设备成本与基本物质资源消耗。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1B43C4">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E13C3C">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ADEC7F">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A215A7">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限肿瘤患者使用。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1C53B7">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7E8030">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816C66">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4154E8">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72FF8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1BBD9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70ADC68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F994F2">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2BABB8">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013404000020000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6FD722">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腔内灌注治疗费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9C855F">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通过灌注系统将灌注液灌注至体腔进行治疗。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E6EC3B">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所定价格涵盖体位摆放、设备准备、消毒、设定参数、连接管路、灌注、观察记录、处理用物等步骤所需的人力资源、设备成本与基本物质资源消耗。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2F983A">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EA6C70">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E56920">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4277FE">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CBA6E7">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C1B43B">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6796FF0">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D37845">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123</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367AE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3D716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52C2149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F20DF0">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A19825">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013404000020001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AD9AEE">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腔内灌注治疗费-腔内热循环灌注治疗（加收）</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B54F43">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cs="宋体"/>
                <w:b/>
                <w:bCs/>
                <w:kern w:val="0"/>
                <w:sz w:val="20"/>
                <w:szCs w:val="20"/>
              </w:rPr>
            </w:pP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001C1F">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9EA608">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01腔内热循环灌注治疗</w:t>
            </w: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1FA64F">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1F517E">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ED6BE9">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91EBC8F">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760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D16701">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58069E">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D3111C">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27F942">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78A22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b/>
                <w:bCs/>
                <w:kern w:val="0"/>
                <w:sz w:val="20"/>
                <w:szCs w:val="20"/>
                <w:lang w:bidi="ar"/>
              </w:rPr>
            </w:pPr>
          </w:p>
        </w:tc>
      </w:tr>
      <w:tr w14:paraId="011B255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7AC16D">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F2A931">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013404000030000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FF2D7B">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血管灌注治疗费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D7159E">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通过灌注系统将灌注液灌注至血管进行治疗。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06CF99">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所定价格涵盖体位摆放、设备准备、消毒、设定参数、穿刺、连接管路、灌注、观察记录、处理用物等步骤所需的人力资源、设备成本与基本物质资源消耗。不含影像学引导。</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BCFE24">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FE9183">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DD5495">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6C6975">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E26A87B">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1650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E59AC9">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1485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6615CE">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1337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63212C">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1070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C6CFD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B4787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3657F53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4F458A">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566DB3">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013404000030001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A4B61F">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血管灌注治疗费-血管热循环灌注治疗（加收）</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3E0ABC">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cs="宋体"/>
                <w:b/>
                <w:bCs/>
                <w:kern w:val="0"/>
                <w:sz w:val="20"/>
                <w:szCs w:val="20"/>
              </w:rPr>
            </w:pP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0E11F8">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454879">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01血管热循环灌注治疗</w:t>
            </w: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70DD31">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611384">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8C5E3F">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DDD10F">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601F7E">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CE5721">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518525">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20085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C928C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67E667A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2B992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C1A21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39252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BBEE0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ED9AA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68715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FEA9B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9C5BC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计价单位</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AA4D07">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1542C07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9A81F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BA75D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65C64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14C5E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DD7C11">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4E2353">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5CF251F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6F00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5B24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015300000240000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01B6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超声波治疗费(理疗)</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C819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通过超声波设备作用于局部组织进行治疗或理疗。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13BE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所定价格涵盖体位摆放、设备准备、消毒、设定参数、治疗、观察记录、处理用物等步骤所需的人力资源、设备成本与基本物质资源消耗。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5CCE0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0DFDB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BD58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16EE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1.与超声波类其他同类项目不能同时收费。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2.每日收费不超过2次。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65E2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22DA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5CDC5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63EE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AB3F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104A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17FF5A2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6447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995D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015300000240001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6677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超声波治疗费(理疗)-聚焦超声治疗（加收）</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2F3B9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7225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E53C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01聚焦超声治疗</w:t>
            </w: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D62A4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7F04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27379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AEFB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0C86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415A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5816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BF4A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CECC0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0BE67FE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2A69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B4F7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015300000250000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729B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超声波治疗费（浅表治疗）</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9053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通过超声波设备作用于局部组织进行浅表治疗。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9BD9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所定价格涵盖体位摆放、设备准备、消毒、设定参数、治疗、观察记录、处理用物等步骤所需的人力资源、设备成本与基本物质资源消耗。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B5AC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3B47F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27BB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ABF3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1.与超声波类其他同类项目不能同时收费。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2.每日收费不超过2次。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F5146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6EE4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47A75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E7D0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883B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92D9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4A8F504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DCC1B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3744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015300000250001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12F9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超声波治疗费（浅表治疗）-聚焦超声治疗（加收）</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7BFC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C82DE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B378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01聚焦超声治疗</w:t>
            </w: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A17BE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CF98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3D3DA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CD84F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846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B9F4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761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D5121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297E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82FD1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DD52C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17B35B9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F7BD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0E5D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013403000010000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D894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高强度聚焦超声治疗费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5E9D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使用高强度聚焦超声设备，对肿瘤或病变进行治疗。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3958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所定价格涵盖体位摆放、设备准备、制定计划、消毒、设定参数、定位、照射、处理用物等步骤所需的人力资源、设备成本与基本物质资源消耗。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2E3B8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13418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DE90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08D9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1.“次”指病灶数量3个及以下，超过3个病灶每增加1个按照20%加收。                      2.单次收费不超过12000元。</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98B7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5767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5CEF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4613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4F6B5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3691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D7AB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2953</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F479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2B8E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20%</w:t>
            </w:r>
          </w:p>
        </w:tc>
      </w:tr>
      <w:tr w14:paraId="417BB78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F0981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CFC3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013403000010001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80D7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高强度聚焦超声治疗费-恶性肿瘤（加收）</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A9337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8F9F5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E788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01恶性肿瘤</w:t>
            </w: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1F779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6428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5BF2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治疗多病灶仅加收1次。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145CF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1442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5918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1153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0A21E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923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42B9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738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3D7FC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5C6DE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18D2547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B3E45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9B9EE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336E9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ECB73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79C43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00C5C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加收项</w:t>
            </w: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C8BC4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EEE115">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计价单位</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BC4795">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0DD3E0F6">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B4CBF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E0E9D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8040E9">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5268F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CA2AF5">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0D7A16">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自付比例</w:t>
            </w:r>
          </w:p>
        </w:tc>
      </w:tr>
      <w:tr w14:paraId="42B1E99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96" w:hRule="atLeast"/>
          <w:tblHeader/>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E417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A237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013405000010000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789E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消融治疗费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A013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使用射频、微波、冷冻、激光、低温等离子、不可逆电穿孔、化学等方法通过经皮或开放手术方式对肿瘤或病变进行消融治疗。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50A3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所定价格涵盖体位摆放、设备准备、消毒、设定参数、穿刺/切开、治疗、观察记录、处理用物等步骤所需的人力资源、设备成本与基本物质资源消耗。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99A0E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AC16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E8BF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1DED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1.“次”指病灶数量3个及以下，超过3个病灶每增加1个按照15%加收。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2.在1次治疗中联合使用多种消融方式时，按照1次计费。                                                                                                                                    3.睡眠呼吸暂停综合症射频温控消融治疗术按78元/次收费。                                                                                                                                 4.经自然腔道消融按此项目收费。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032FE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3082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BD13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2465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C50C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2096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A42A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1677</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4276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B776C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398D387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ABB99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8869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013405000010001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E2CE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消融治疗费-恶性肿瘤（加收）</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6DBEC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84B0D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284A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01恶性肿瘤</w:t>
            </w: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B0E96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E8E0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496D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治疗多病灶仅加收1次。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B590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2A6B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EF082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72BA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7B29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1D098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lang w:bidi="ar"/>
              </w:rPr>
            </w:pPr>
          </w:p>
        </w:tc>
      </w:tr>
      <w:tr w14:paraId="5736D44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50"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09DA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06A6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013405000020000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84F5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复合集成消融治疗费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C3DF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通过采用多种消融方式复合集成式对肿瘤或病变进行消融治疗。</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FF07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所定价格涵盖体位摆放、设备准备、消毒、设定参数、穿刺、治疗、观察记录、处理用物等步骤所需的人力资源、设备成本与基本物质资源消耗。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16C11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0B501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9C85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8A73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1.“次”指病灶数量3个及以下，超过3个病灶每增加1个按照15%加收。                    2.“复合集成消融治疗”指的是1次治疗中使用集成式消融方式。                                                                                                                                      </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F5103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3990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5318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3591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6D05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3232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A282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2586</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7DA5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3B1B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547D771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E4152F">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D9E9A9">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7B8746">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项目名称</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E0841F">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服务产出</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C0A06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13289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加收项</w:t>
            </w: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0F145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扩展项</w:t>
            </w: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161BB4">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计价单位</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3D5BB6">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6ABF11C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6C795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CF7CDD">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59FB46">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19BB19">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8CEB7C">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42F47B">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lang w:bidi="ar"/>
              </w:rPr>
              <w:t>自付比例</w:t>
            </w:r>
          </w:p>
        </w:tc>
      </w:tr>
      <w:tr w14:paraId="03AE010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DA75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6C1F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015300000260000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A4A1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生物反馈重建治疗费</w:t>
            </w:r>
          </w:p>
        </w:tc>
        <w:tc>
          <w:tcPr>
            <w:tcW w:w="20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1176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通过应用电子仪器将人体内生物活动信息（肌电、脑电、皮温、心率、皮肤电阻等）转化为可识别的光、声、图像、曲线等信号并反馈给患者，调整生理功能及治疗某些身心疾病。</w:t>
            </w:r>
          </w:p>
        </w:tc>
        <w:tc>
          <w:tcPr>
            <w:tcW w:w="207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D8B9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所定价格涵盖体位摆放、设备准备、消毒、实时监测与反馈、训练、调节、观察记录、处理用物等步骤所需的人力资源、设备成本与基本物质资源消耗。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87483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62726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1F77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DA359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60BAA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D7FC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824D0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1F39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BC63F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35FE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bl>
    <w:p w14:paraId="23CE3EA8">
      <w:pPr>
        <w:spacing w:after="156" w:afterLines="50" w:line="600" w:lineRule="exact"/>
        <w:jc w:val="both"/>
        <w:rPr>
          <w:rFonts w:hint="eastAsia" w:ascii="方正小标宋简体" w:hAnsi="方正小标宋简体" w:eastAsia="方正小标宋简体" w:cs="方正小标宋简体"/>
          <w:kern w:val="0"/>
          <w:sz w:val="44"/>
          <w:szCs w:val="44"/>
          <w:lang w:val="en-US" w:eastAsia="zh-CN" w:bidi="ar"/>
        </w:rPr>
      </w:pPr>
    </w:p>
    <w:p w14:paraId="00B7BA65">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使用说明：</w:t>
      </w:r>
    </w:p>
    <w:p w14:paraId="71FC9D33">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1.所定价格属于政府指导价为最高限价，下浮不限。同时，医疗机构实施过程中有关创新改良，申报新增医疗服务价格项目的，采取“现有项目兼容”的方式简化处理，按照对应的立项指南项目执行。                                                                                                                                                                                                           2.“价格构成”指项目价格应涵盖的各类资源消耗，用于确定计价单元的边界，是制定调整项目价格考虑的测算因子，不应作为临床技术标准理解，不是实际操作方式、路径、步骤、程序的强制性要求。价格构成中包含，但个别临床实践中非必要、未发生的，无需减计费用。所列“设备投入”包括但不限于操作设备、器械及固定资产投入。                                            </w:t>
      </w:r>
    </w:p>
    <w:p w14:paraId="1A6592DB">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3.“加收项”指同一项目以不同方式提供或在不同场景应用时，确有必要制定差异化收费标准而细分的一类子项，包括在原项目价格基础上增加或减少收费的情况。实际应用中，同时涉及多个加收项的，以项目单价为基础计算各项的加/减收水平后，据实收费。                                                                                                </w:t>
      </w:r>
    </w:p>
    <w:p w14:paraId="6A9BDFBA">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4.“扩展项”指同一项目下以不同方式提供或在不同场景应用时，只扩展价格项目适用范围、不额外加价的一类子项，子项的价格按主项目执行。                                                                                                                                                                                            </w:t>
      </w:r>
    </w:p>
    <w:p w14:paraId="48B7BAA3">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5.“基本物质资源物耗”指原则上限于不应或不必要与医疗服务项目分割的易耗品，包括但不限于各类消杀灭菌用品、储存用品、清洁用品、个人防护用品、垃圾处理用品、滑石粉、标签、防渗漏垫、中单、护（尿）垫、棉球、棉签、纱布（垫）、压舌板、治疗护理盘（包）、治疗巾（单）、手术巾（单）、手术包、普通注射器、可复用的操作器具、液氮、报告打印耗材、备皮工具、一次性电极片、耦合剂、冷/热治疗物品、水及水质调节剂、软件（版权、开发、购买）成本等。基本物质资源消耗成本计入项目价格，不另行收费。开具药品处方后用于患者直接诊疗(不包括管路冲洗、器械消毒等)的生理盐水不属于基本物耗范围。除基本物耗以外 ，立项指南落地前价格项目除外内容的可收费医用耗材，按照实际采购价格零差率销售 。                                                                                                                                                                                                                                                                                                                                                                                                                                             </w:t>
      </w:r>
    </w:p>
    <w:p w14:paraId="619821C8">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6.价格构成中所称“穿刺”为主项操作涉及的必要穿刺技术，价格构成中的穿刺操作不可收取相关费用；独立穿刺项目可按相应治疗价格项目收取。                                                                                                                                                                                                </w:t>
      </w:r>
    </w:p>
    <w:p w14:paraId="6607E05A">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7.涉及“包括……”“…… 等”的，属于开放型表述，所指对象不仅局限于表述中列明的事项，也包括未列明的同类事项。                                                                                                                                                      </w:t>
      </w:r>
    </w:p>
    <w:p w14:paraId="3B1C90FC">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8.所设立价格项目为通用项目，已在其他类别立项指南特定学科中单独设立价格项目的，优先执行特定学科的价格项目。                                                                                                                                                                                                                                                            </w:t>
      </w:r>
    </w:p>
    <w:p w14:paraId="619D8B07">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9.所有项目不收辅助操作费。</w:t>
      </w:r>
    </w:p>
    <w:p w14:paraId="15B8C80E">
      <w:pPr>
        <w:spacing w:line="360" w:lineRule="exact"/>
        <w:rPr>
          <w:rFonts w:hint="eastAsia" w:ascii="黑体" w:hAnsi="宋体" w:eastAsia="黑体" w:cs="黑体"/>
          <w:kern w:val="0"/>
          <w:sz w:val="32"/>
          <w:szCs w:val="32"/>
          <w:lang w:bidi="ar"/>
        </w:rPr>
      </w:pPr>
    </w:p>
    <w:p w14:paraId="6459F75B">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B51C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71"/>
    <w:basedOn w:val="3"/>
    <w:qFormat/>
    <w:uiPriority w:val="0"/>
    <w:rPr>
      <w:rFonts w:hint="default" w:ascii="Times New Roman" w:hAnsi="Times New Roman" w:cs="Times New Roman"/>
      <w:b/>
      <w:bCs/>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2026-08-31T07:49:22Z</dcterms:created>
  <dc:creator>Administrator</dc:creator>
  <cp:lastModifiedBy>旋子！</cp:lastModifiedBy>
  <dcterms:modified xsi:type="dcterms:W3CDTF">2026-08-31T07:49:35Z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eyJoZGlkIjoiMmIwMTI4NjAyZmE1ZGZkYzExMDNmYWFiZTMzYjdmNjciLCJ1c2VySWQiOiI0NTcwMDExODYifQ==</vt:lpwstr>
  </property>
  <property fmtid="{D5CDD505-2E9C-101B-9397-08002B2CF9AE}" pid="4" name="ICV">
    <vt:lpwstr>D827FEEF5B0B4F19AC3FFC457DDA0ED8_12</vt:lpwstr>
  </property>
</Properties>
</file>