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858B90">
      <w:pPr>
        <w:spacing w:line="360" w:lineRule="exact"/>
        <w:rPr>
          <w:rFonts w:hint="eastAsia" w:ascii="方正小标宋简体" w:hAnsi="方正小标宋简体" w:eastAsia="黑体" w:cs="方正小标宋简体"/>
          <w:kern w:val="0"/>
          <w:sz w:val="32"/>
          <w:szCs w:val="32"/>
          <w:lang w:eastAsia="zh-CN" w:bidi="ar"/>
        </w:rPr>
      </w:pPr>
      <w:r>
        <w:rPr>
          <w:rFonts w:hint="eastAsia" w:ascii="黑体" w:hAnsi="宋体" w:eastAsia="黑体" w:cs="黑体"/>
          <w:kern w:val="0"/>
          <w:sz w:val="32"/>
          <w:szCs w:val="32"/>
          <w:lang w:bidi="ar"/>
        </w:rPr>
        <w:t>附件</w:t>
      </w:r>
      <w:r>
        <w:rPr>
          <w:rFonts w:hint="eastAsia" w:ascii="黑体" w:hAnsi="宋体" w:eastAsia="黑体" w:cs="黑体"/>
          <w:kern w:val="0"/>
          <w:sz w:val="32"/>
          <w:szCs w:val="32"/>
          <w:lang w:val="en-US" w:eastAsia="zh-CN" w:bidi="ar"/>
        </w:rPr>
        <w:t>2</w:t>
      </w:r>
      <w:r>
        <w:rPr>
          <w:rFonts w:hint="eastAsia" w:ascii="黑体" w:hAnsi="宋体" w:eastAsia="黑体" w:cs="黑体"/>
          <w:kern w:val="0"/>
          <w:sz w:val="32"/>
          <w:szCs w:val="32"/>
          <w:lang w:bidi="ar"/>
        </w:rPr>
        <w:t>-</w:t>
      </w:r>
      <w:r>
        <w:rPr>
          <w:rFonts w:hint="eastAsia" w:ascii="黑体" w:hAnsi="宋体" w:eastAsia="黑体" w:cs="黑体"/>
          <w:kern w:val="0"/>
          <w:sz w:val="32"/>
          <w:szCs w:val="32"/>
          <w:lang w:val="en-US" w:eastAsia="zh-CN" w:bidi="ar"/>
        </w:rPr>
        <w:t>3</w:t>
      </w:r>
    </w:p>
    <w:p w14:paraId="055B94EF">
      <w:pPr>
        <w:spacing w:after="156" w:afterLines="50" w:line="600" w:lineRule="exact"/>
        <w:jc w:val="center"/>
        <w:rPr>
          <w:rFonts w:ascii="仿宋_GB2312" w:hAnsi="仿宋_GB2312" w:eastAsia="仿宋_GB2312" w:cs="仿宋_GB2312"/>
          <w:sz w:val="28"/>
          <w:szCs w:val="28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bidi="ar"/>
        </w:rPr>
        <w:t>常德市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"/>
        </w:rPr>
        <w:t>消化系统类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bidi="ar"/>
        </w:rPr>
        <w:t>医疗服务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"/>
        </w:rPr>
        <w:t>价格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bidi="ar"/>
        </w:rPr>
        <w:t>项目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 w:bidi="ar"/>
        </w:rPr>
        <w:t>修订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bidi="ar"/>
        </w:rPr>
        <w:t>表</w:t>
      </w:r>
    </w:p>
    <w:tbl>
      <w:tblPr>
        <w:tblStyle w:val="3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34"/>
        <w:gridCol w:w="1550"/>
        <w:gridCol w:w="1792"/>
        <w:gridCol w:w="2691"/>
        <w:gridCol w:w="850"/>
        <w:gridCol w:w="850"/>
        <w:gridCol w:w="1917"/>
        <w:gridCol w:w="1033"/>
        <w:gridCol w:w="1100"/>
        <w:gridCol w:w="983"/>
        <w:gridCol w:w="918"/>
      </w:tblGrid>
      <w:tr w14:paraId="436D322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noWrap w:val="0"/>
            <w:vAlign w:val="center"/>
          </w:tcPr>
          <w:p w14:paraId="50681A7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序号</w:t>
            </w:r>
          </w:p>
        </w:tc>
        <w:tc>
          <w:tcPr>
            <w:tcW w:w="1550" w:type="dxa"/>
            <w:noWrap w:val="0"/>
            <w:vAlign w:val="center"/>
          </w:tcPr>
          <w:p w14:paraId="1F100DD6">
            <w:pPr>
              <w:widowControl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地方项目代码</w:t>
            </w:r>
          </w:p>
        </w:tc>
        <w:tc>
          <w:tcPr>
            <w:tcW w:w="1792" w:type="dxa"/>
            <w:noWrap w:val="0"/>
            <w:vAlign w:val="center"/>
          </w:tcPr>
          <w:p w14:paraId="38606B5B">
            <w:pPr>
              <w:widowControl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地方项目名称</w:t>
            </w:r>
          </w:p>
        </w:tc>
        <w:tc>
          <w:tcPr>
            <w:tcW w:w="2691" w:type="dxa"/>
            <w:noWrap w:val="0"/>
            <w:vAlign w:val="center"/>
          </w:tcPr>
          <w:p w14:paraId="7DB86EA3">
            <w:pPr>
              <w:widowControl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地方项目内涵（或章节说明）</w:t>
            </w:r>
          </w:p>
        </w:tc>
        <w:tc>
          <w:tcPr>
            <w:tcW w:w="850" w:type="dxa"/>
            <w:noWrap w:val="0"/>
            <w:vAlign w:val="center"/>
          </w:tcPr>
          <w:p w14:paraId="3C93324A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除外</w:t>
            </w:r>
          </w:p>
          <w:p w14:paraId="3C07C7E6">
            <w:pPr>
              <w:widowControl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内容</w:t>
            </w:r>
          </w:p>
        </w:tc>
        <w:tc>
          <w:tcPr>
            <w:tcW w:w="850" w:type="dxa"/>
            <w:noWrap w:val="0"/>
            <w:vAlign w:val="center"/>
          </w:tcPr>
          <w:p w14:paraId="59D3544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计价</w:t>
            </w:r>
          </w:p>
          <w:p w14:paraId="5794A8F9">
            <w:pPr>
              <w:widowControl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单位</w:t>
            </w:r>
          </w:p>
        </w:tc>
        <w:tc>
          <w:tcPr>
            <w:tcW w:w="1917" w:type="dxa"/>
            <w:noWrap w:val="0"/>
            <w:vAlign w:val="center"/>
          </w:tcPr>
          <w:p w14:paraId="063EEAC5">
            <w:pPr>
              <w:widowControl/>
              <w:spacing w:line="240" w:lineRule="exact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0"/>
                <w:sz w:val="20"/>
                <w:szCs w:val="20"/>
                <w:lang w:val="en-US" w:eastAsia="zh-CN"/>
              </w:rPr>
              <w:t>计价说明</w:t>
            </w:r>
          </w:p>
        </w:tc>
        <w:tc>
          <w:tcPr>
            <w:tcW w:w="1033" w:type="dxa"/>
            <w:noWrap w:val="0"/>
            <w:vAlign w:val="center"/>
          </w:tcPr>
          <w:p w14:paraId="4EDA1758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市一类</w:t>
            </w:r>
          </w:p>
          <w:p w14:paraId="19CB694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7ACB41A6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kern w:val="0"/>
                <w:sz w:val="32"/>
                <w:szCs w:val="32"/>
                <w:vertAlign w:val="baseline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1100" w:type="dxa"/>
            <w:noWrap w:val="0"/>
            <w:vAlign w:val="center"/>
          </w:tcPr>
          <w:p w14:paraId="0ADA6902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市二类</w:t>
            </w:r>
          </w:p>
          <w:p w14:paraId="22D17E09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05C2D09B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kern w:val="0"/>
                <w:sz w:val="32"/>
                <w:szCs w:val="32"/>
                <w:vertAlign w:val="baseline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983" w:type="dxa"/>
            <w:noWrap w:val="0"/>
            <w:vAlign w:val="center"/>
          </w:tcPr>
          <w:p w14:paraId="4FD03237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市三类</w:t>
            </w:r>
          </w:p>
          <w:p w14:paraId="45954C14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1CC0EDB4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kern w:val="0"/>
                <w:sz w:val="32"/>
                <w:szCs w:val="32"/>
                <w:vertAlign w:val="baseline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  <w:tc>
          <w:tcPr>
            <w:tcW w:w="918" w:type="dxa"/>
            <w:noWrap w:val="0"/>
            <w:vAlign w:val="center"/>
          </w:tcPr>
          <w:p w14:paraId="73F57E95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市基层</w:t>
            </w:r>
          </w:p>
          <w:p w14:paraId="6A81F0BE">
            <w:pPr>
              <w:widowControl/>
              <w:spacing w:line="240" w:lineRule="exact"/>
              <w:jc w:val="center"/>
              <w:textAlignment w:val="center"/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价格</w:t>
            </w:r>
          </w:p>
          <w:p w14:paraId="36C0F668">
            <w:pPr>
              <w:widowControl/>
              <w:spacing w:line="240" w:lineRule="exact"/>
              <w:jc w:val="center"/>
              <w:textAlignment w:val="center"/>
              <w:rPr>
                <w:rFonts w:hint="eastAsia" w:ascii="黑体" w:hAnsi="宋体" w:eastAsia="黑体" w:cs="黑体"/>
                <w:kern w:val="0"/>
                <w:sz w:val="32"/>
                <w:szCs w:val="32"/>
                <w:vertAlign w:val="baseline"/>
                <w:lang w:bidi="ar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 w:val="20"/>
                <w:szCs w:val="20"/>
              </w:rPr>
              <w:t>（元）</w:t>
            </w:r>
          </w:p>
        </w:tc>
      </w:tr>
      <w:tr w14:paraId="45575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noWrap w:val="0"/>
            <w:vAlign w:val="center"/>
          </w:tcPr>
          <w:p w14:paraId="46F9E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</w:t>
            </w:r>
          </w:p>
        </w:tc>
        <w:tc>
          <w:tcPr>
            <w:tcW w:w="1550" w:type="dxa"/>
            <w:noWrap w:val="0"/>
            <w:vAlign w:val="center"/>
          </w:tcPr>
          <w:p w14:paraId="2A93BE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331004020</w:t>
            </w:r>
          </w:p>
        </w:tc>
        <w:tc>
          <w:tcPr>
            <w:tcW w:w="1792" w:type="dxa"/>
            <w:noWrap w:val="0"/>
            <w:vAlign w:val="center"/>
          </w:tcPr>
          <w:p w14:paraId="35ACEA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肛周常见疾病手术治疗</w:t>
            </w:r>
          </w:p>
        </w:tc>
        <w:tc>
          <w:tcPr>
            <w:tcW w:w="2691" w:type="dxa"/>
            <w:noWrap w:val="0"/>
            <w:vAlign w:val="center"/>
          </w:tcPr>
          <w:p w14:paraId="03FCB5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指电凝法，痔、肛裂、息肉、疣、肥大肛乳头、痣等切除或套扎及肛周肿物切除术分别参照执行；不含复杂肛瘘、高位肛瘘</w:t>
            </w:r>
          </w:p>
        </w:tc>
        <w:tc>
          <w:tcPr>
            <w:tcW w:w="850" w:type="dxa"/>
            <w:noWrap w:val="0"/>
            <w:vAlign w:val="center"/>
          </w:tcPr>
          <w:p w14:paraId="7A07B0BC">
            <w:pPr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vertAlign w:val="baseline"/>
                <w:lang w:bidi="ar"/>
              </w:rPr>
            </w:pPr>
          </w:p>
        </w:tc>
        <w:tc>
          <w:tcPr>
            <w:tcW w:w="850" w:type="dxa"/>
            <w:noWrap w:val="0"/>
            <w:vAlign w:val="center"/>
          </w:tcPr>
          <w:p w14:paraId="16A71B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917" w:type="dxa"/>
            <w:noWrap w:val="0"/>
            <w:vAlign w:val="center"/>
          </w:tcPr>
          <w:p w14:paraId="0A161C6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激光、套扎等法可分别加收200元</w:t>
            </w:r>
          </w:p>
        </w:tc>
        <w:tc>
          <w:tcPr>
            <w:tcW w:w="1033" w:type="dxa"/>
            <w:noWrap w:val="0"/>
            <w:vAlign w:val="center"/>
          </w:tcPr>
          <w:p w14:paraId="63DEB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520</w:t>
            </w:r>
          </w:p>
        </w:tc>
        <w:tc>
          <w:tcPr>
            <w:tcW w:w="1100" w:type="dxa"/>
            <w:noWrap w:val="0"/>
            <w:vAlign w:val="center"/>
          </w:tcPr>
          <w:p w14:paraId="03264D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440</w:t>
            </w:r>
          </w:p>
        </w:tc>
        <w:tc>
          <w:tcPr>
            <w:tcW w:w="983" w:type="dxa"/>
            <w:noWrap w:val="0"/>
            <w:vAlign w:val="center"/>
          </w:tcPr>
          <w:p w14:paraId="4064C5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312</w:t>
            </w:r>
          </w:p>
        </w:tc>
        <w:tc>
          <w:tcPr>
            <w:tcW w:w="918" w:type="dxa"/>
            <w:noWrap w:val="0"/>
            <w:vAlign w:val="center"/>
          </w:tcPr>
          <w:p w14:paraId="634956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250</w:t>
            </w:r>
          </w:p>
        </w:tc>
      </w:tr>
      <w:tr w14:paraId="51060D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34" w:type="dxa"/>
            <w:noWrap w:val="0"/>
            <w:vAlign w:val="center"/>
          </w:tcPr>
          <w:p w14:paraId="6A942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</w:t>
            </w:r>
          </w:p>
        </w:tc>
        <w:tc>
          <w:tcPr>
            <w:tcW w:w="1550" w:type="dxa"/>
            <w:noWrap w:val="0"/>
            <w:vAlign w:val="center"/>
          </w:tcPr>
          <w:p w14:paraId="6E40B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331004028</w:t>
            </w:r>
          </w:p>
        </w:tc>
        <w:tc>
          <w:tcPr>
            <w:tcW w:w="1792" w:type="dxa"/>
            <w:noWrap w:val="0"/>
            <w:vAlign w:val="center"/>
          </w:tcPr>
          <w:p w14:paraId="798D17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经直肠直肠尿道瘘修补</w:t>
            </w:r>
          </w:p>
        </w:tc>
        <w:tc>
          <w:tcPr>
            <w:tcW w:w="2691" w:type="dxa"/>
            <w:noWrap w:val="0"/>
            <w:vAlign w:val="center"/>
          </w:tcPr>
          <w:p w14:paraId="73235E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直肠阴道瘘修补参照执行。不含膀胱造瘘</w:t>
            </w:r>
          </w:p>
        </w:tc>
        <w:tc>
          <w:tcPr>
            <w:tcW w:w="850" w:type="dxa"/>
            <w:noWrap w:val="0"/>
            <w:vAlign w:val="center"/>
          </w:tcPr>
          <w:p w14:paraId="1869F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支架</w:t>
            </w:r>
          </w:p>
        </w:tc>
        <w:tc>
          <w:tcPr>
            <w:tcW w:w="850" w:type="dxa"/>
            <w:noWrap w:val="0"/>
            <w:vAlign w:val="center"/>
          </w:tcPr>
          <w:p w14:paraId="0E903A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917" w:type="dxa"/>
            <w:noWrap w:val="0"/>
            <w:vAlign w:val="center"/>
          </w:tcPr>
          <w:p w14:paraId="0D9117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△</w:t>
            </w:r>
          </w:p>
        </w:tc>
        <w:tc>
          <w:tcPr>
            <w:tcW w:w="1033" w:type="dxa"/>
            <w:noWrap w:val="0"/>
            <w:vAlign w:val="center"/>
          </w:tcPr>
          <w:p w14:paraId="6BB9A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1690</w:t>
            </w:r>
          </w:p>
        </w:tc>
        <w:tc>
          <w:tcPr>
            <w:tcW w:w="1100" w:type="dxa"/>
            <w:noWrap w:val="0"/>
            <w:vAlign w:val="center"/>
          </w:tcPr>
          <w:p w14:paraId="2BA407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1435</w:t>
            </w:r>
          </w:p>
        </w:tc>
        <w:tc>
          <w:tcPr>
            <w:tcW w:w="983" w:type="dxa"/>
            <w:noWrap w:val="0"/>
            <w:vAlign w:val="center"/>
          </w:tcPr>
          <w:p w14:paraId="5EBD9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1291</w:t>
            </w:r>
          </w:p>
        </w:tc>
        <w:tc>
          <w:tcPr>
            <w:tcW w:w="918" w:type="dxa"/>
            <w:noWrap w:val="0"/>
            <w:vAlign w:val="center"/>
          </w:tcPr>
          <w:p w14:paraId="50FB4D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1033</w:t>
            </w:r>
          </w:p>
        </w:tc>
      </w:tr>
      <w:tr w14:paraId="2A698B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534" w:type="dxa"/>
            <w:noWrap w:val="0"/>
            <w:vAlign w:val="center"/>
          </w:tcPr>
          <w:p w14:paraId="203644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</w:t>
            </w:r>
          </w:p>
        </w:tc>
        <w:tc>
          <w:tcPr>
            <w:tcW w:w="1550" w:type="dxa"/>
            <w:noWrap w:val="0"/>
            <w:vAlign w:val="center"/>
          </w:tcPr>
          <w:p w14:paraId="43014B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310904001</w:t>
            </w:r>
          </w:p>
        </w:tc>
        <w:tc>
          <w:tcPr>
            <w:tcW w:w="1792" w:type="dxa"/>
            <w:noWrap w:val="0"/>
            <w:vAlign w:val="center"/>
          </w:tcPr>
          <w:p w14:paraId="2CCC758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直肠取活检术</w:t>
            </w:r>
          </w:p>
        </w:tc>
        <w:tc>
          <w:tcPr>
            <w:tcW w:w="2691" w:type="dxa"/>
            <w:noWrap w:val="0"/>
            <w:vAlign w:val="center"/>
          </w:tcPr>
          <w:p w14:paraId="2700A16B">
            <w:pPr>
              <w:rPr>
                <w:rFonts w:hint="eastAsia" w:ascii="宋体" w:hAnsi="宋体" w:eastAsia="宋体" w:cs="宋体"/>
                <w:kern w:val="0"/>
                <w:sz w:val="20"/>
                <w:szCs w:val="20"/>
                <w:vertAlign w:val="baseline"/>
                <w:lang w:bidi="ar"/>
              </w:rPr>
            </w:pPr>
          </w:p>
        </w:tc>
        <w:tc>
          <w:tcPr>
            <w:tcW w:w="850" w:type="dxa"/>
            <w:noWrap w:val="0"/>
            <w:vAlign w:val="center"/>
          </w:tcPr>
          <w:p w14:paraId="2BF3AA0C">
            <w:pPr>
              <w:jc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vertAlign w:val="baseline"/>
                <w:lang w:bidi="ar"/>
              </w:rPr>
            </w:pPr>
          </w:p>
        </w:tc>
        <w:tc>
          <w:tcPr>
            <w:tcW w:w="850" w:type="dxa"/>
            <w:noWrap w:val="0"/>
            <w:vAlign w:val="center"/>
          </w:tcPr>
          <w:p w14:paraId="433FDB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次</w:t>
            </w:r>
          </w:p>
        </w:tc>
        <w:tc>
          <w:tcPr>
            <w:tcW w:w="1917" w:type="dxa"/>
            <w:noWrap w:val="0"/>
            <w:vAlign w:val="center"/>
          </w:tcPr>
          <w:p w14:paraId="6DCE2C4E">
            <w:pPr>
              <w:rPr>
                <w:rFonts w:hint="eastAsia" w:ascii="宋体" w:hAnsi="宋体" w:eastAsia="宋体" w:cs="宋体"/>
                <w:kern w:val="0"/>
                <w:sz w:val="20"/>
                <w:szCs w:val="20"/>
                <w:vertAlign w:val="baseline"/>
                <w:lang w:bidi="ar"/>
              </w:rPr>
            </w:pPr>
          </w:p>
        </w:tc>
        <w:tc>
          <w:tcPr>
            <w:tcW w:w="1033" w:type="dxa"/>
            <w:noWrap w:val="0"/>
            <w:vAlign w:val="center"/>
          </w:tcPr>
          <w:p w14:paraId="6F4F62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48</w:t>
            </w:r>
          </w:p>
        </w:tc>
        <w:tc>
          <w:tcPr>
            <w:tcW w:w="1100" w:type="dxa"/>
            <w:noWrap w:val="0"/>
            <w:vAlign w:val="center"/>
          </w:tcPr>
          <w:p w14:paraId="109192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41</w:t>
            </w:r>
          </w:p>
        </w:tc>
        <w:tc>
          <w:tcPr>
            <w:tcW w:w="983" w:type="dxa"/>
            <w:noWrap w:val="0"/>
            <w:vAlign w:val="center"/>
          </w:tcPr>
          <w:p w14:paraId="419794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36</w:t>
            </w:r>
          </w:p>
        </w:tc>
        <w:tc>
          <w:tcPr>
            <w:tcW w:w="918" w:type="dxa"/>
            <w:noWrap w:val="0"/>
            <w:vAlign w:val="center"/>
          </w:tcPr>
          <w:p w14:paraId="6800B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kern w:val="0"/>
                <w:sz w:val="20"/>
                <w:szCs w:val="20"/>
                <w:vertAlign w:val="baseline"/>
                <w:lang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29</w:t>
            </w:r>
          </w:p>
        </w:tc>
      </w:tr>
    </w:tbl>
    <w:p w14:paraId="1B8236C2"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B0D2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2026-08-31T07:49:00Z</dcterms:created>
  <dc:creator>Administrator</dc:creator>
  <cp:lastModifiedBy>旋子！</cp:lastModifiedBy>
  <dcterms:modified xsi:type="dcterms:W3CDTF">2026-08-31T07:49:11Z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eyJoZGlkIjoiMmIwMTI4NjAyZmE1ZGZkYzExMDNmYWFiZTMzYjdmNjciLCJ1c2VySWQiOiI0NTcwMDExODYifQ==</vt:lpwstr>
  </property>
  <property fmtid="{D5CDD505-2E9C-101B-9397-08002B2CF9AE}" pid="4" name="ICV">
    <vt:lpwstr>E3CA0FBCF05C4858B01A6BF5F70160C5_12</vt:lpwstr>
  </property>
</Properties>
</file>