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D3C6C">
      <w:pPr>
        <w:spacing w:line="360" w:lineRule="exact"/>
        <w:rPr>
          <w:rFonts w:ascii="方正小标宋简体" w:hAnsi="方正小标宋简体" w:eastAsia="黑体" w:cs="方正小标宋简体"/>
          <w:kern w:val="0"/>
          <w:sz w:val="32"/>
          <w:szCs w:val="32"/>
          <w:lang w:bidi="ar"/>
        </w:rPr>
      </w:pPr>
      <w:r>
        <w:rPr>
          <w:rFonts w:hint="eastAsia" w:ascii="黑体" w:hAnsi="宋体" w:eastAsia="黑体" w:cs="黑体"/>
          <w:kern w:val="0"/>
          <w:sz w:val="32"/>
          <w:szCs w:val="32"/>
          <w:lang w:bidi="ar"/>
        </w:rPr>
        <w:t>附件</w:t>
      </w:r>
      <w:r>
        <w:rPr>
          <w:rFonts w:hint="eastAsia" w:ascii="黑体" w:hAnsi="宋体" w:eastAsia="黑体" w:cs="黑体"/>
          <w:kern w:val="0"/>
          <w:sz w:val="32"/>
          <w:szCs w:val="32"/>
          <w:lang w:val="en-US" w:eastAsia="zh-CN" w:bidi="ar"/>
        </w:rPr>
        <w:t>2</w:t>
      </w:r>
      <w:r>
        <w:rPr>
          <w:rFonts w:hint="eastAsia" w:ascii="黑体" w:hAnsi="宋体" w:eastAsia="黑体" w:cs="黑体"/>
          <w:kern w:val="0"/>
          <w:sz w:val="32"/>
          <w:szCs w:val="32"/>
          <w:lang w:bidi="ar"/>
        </w:rPr>
        <w:t>-1</w:t>
      </w:r>
    </w:p>
    <w:p w14:paraId="4D6C4823">
      <w:pPr>
        <w:spacing w:after="156" w:afterLines="50" w:line="600" w:lineRule="exact"/>
        <w:jc w:val="center"/>
        <w:rPr>
          <w:rFonts w:ascii="仿宋_GB2312" w:hAnsi="仿宋_GB2312" w:eastAsia="仿宋_GB2312" w:cs="仿宋_GB2312"/>
          <w:sz w:val="28"/>
          <w:szCs w:val="28"/>
        </w:rPr>
      </w:pPr>
      <w:r>
        <w:rPr>
          <w:rFonts w:hint="eastAsia" w:ascii="方正小标宋简体" w:hAnsi="方正小标宋简体" w:eastAsia="方正小标宋简体" w:cs="方正小标宋简体"/>
          <w:kern w:val="0"/>
          <w:sz w:val="44"/>
          <w:szCs w:val="44"/>
          <w:lang w:bidi="ar"/>
        </w:rPr>
        <w:t>常德市</w:t>
      </w:r>
      <w:r>
        <w:rPr>
          <w:rFonts w:hint="eastAsia" w:ascii="方正小标宋简体" w:hAnsi="方正小标宋简体" w:eastAsia="方正小标宋简体" w:cs="方正小标宋简体"/>
          <w:kern w:val="0"/>
          <w:sz w:val="44"/>
          <w:szCs w:val="44"/>
          <w:lang w:val="en-US" w:eastAsia="zh-CN" w:bidi="ar"/>
        </w:rPr>
        <w:t>病理类</w:t>
      </w:r>
      <w:r>
        <w:rPr>
          <w:rFonts w:hint="eastAsia" w:ascii="方正小标宋简体" w:hAnsi="方正小标宋简体" w:eastAsia="方正小标宋简体" w:cs="方正小标宋简体"/>
          <w:kern w:val="0"/>
          <w:sz w:val="44"/>
          <w:szCs w:val="44"/>
          <w:lang w:bidi="ar"/>
        </w:rPr>
        <w:t>医疗服务项目价格表</w:t>
      </w:r>
    </w:p>
    <w:tbl>
      <w:tblPr>
        <w:tblStyle w:val="2"/>
        <w:tblW w:w="15398" w:type="dxa"/>
        <w:jc w:val="center"/>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
      <w:tblGrid>
        <w:gridCol w:w="438"/>
        <w:gridCol w:w="1631"/>
        <w:gridCol w:w="1455"/>
        <w:gridCol w:w="2098"/>
        <w:gridCol w:w="1980"/>
        <w:gridCol w:w="735"/>
        <w:gridCol w:w="420"/>
        <w:gridCol w:w="555"/>
        <w:gridCol w:w="1875"/>
        <w:gridCol w:w="720"/>
        <w:gridCol w:w="765"/>
        <w:gridCol w:w="765"/>
        <w:gridCol w:w="720"/>
        <w:gridCol w:w="615"/>
        <w:gridCol w:w="626"/>
      </w:tblGrid>
      <w:tr w14:paraId="759F4F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65" w:hRule="atLeast"/>
          <w:tblHeader/>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723273">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序号</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935BB6">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项目编码</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CFF67F">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项目名称</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8F212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服务产出</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514B2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价格构成</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3E316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加收项</w:t>
            </w: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2103D2">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扩展项</w:t>
            </w: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621E7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计价单位</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7D436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计价</w:t>
            </w:r>
          </w:p>
          <w:p w14:paraId="78ED0139">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说明</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EE7D61">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市一类价格（元）</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FABEAF">
            <w:pPr>
              <w:widowControl/>
              <w:spacing w:line="240" w:lineRule="exact"/>
              <w:jc w:val="center"/>
              <w:textAlignment w:val="center"/>
              <w:rPr>
                <w:rFonts w:ascii="宋体" w:hAnsi="宋体" w:cs="宋体"/>
                <w:b/>
                <w:bCs/>
                <w:kern w:val="0"/>
                <w:sz w:val="20"/>
                <w:szCs w:val="20"/>
              </w:rPr>
            </w:pPr>
            <w:r>
              <w:rPr>
                <w:rFonts w:hint="eastAsia" w:ascii="宋体" w:hAnsi="宋体" w:cs="宋体"/>
                <w:b/>
                <w:bCs/>
                <w:kern w:val="0"/>
                <w:sz w:val="20"/>
                <w:szCs w:val="20"/>
              </w:rPr>
              <w:t>市二类价格（元）</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E8889FA">
            <w:pPr>
              <w:widowControl/>
              <w:spacing w:line="240" w:lineRule="exact"/>
              <w:jc w:val="center"/>
              <w:textAlignment w:val="center"/>
              <w:rPr>
                <w:rFonts w:ascii="宋体" w:hAnsi="宋体" w:cs="宋体"/>
                <w:b/>
                <w:bCs/>
                <w:sz w:val="20"/>
                <w:szCs w:val="20"/>
              </w:rPr>
            </w:pPr>
            <w:r>
              <w:rPr>
                <w:rFonts w:hint="eastAsia" w:ascii="宋体" w:hAnsi="宋体" w:cs="宋体"/>
                <w:b/>
                <w:bCs/>
                <w:kern w:val="0"/>
                <w:sz w:val="20"/>
                <w:szCs w:val="20"/>
              </w:rPr>
              <w:t>市三类价格（元）</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EDF784">
            <w:pPr>
              <w:widowControl/>
              <w:spacing w:line="240" w:lineRule="exact"/>
              <w:jc w:val="center"/>
              <w:textAlignment w:val="center"/>
              <w:rPr>
                <w:rStyle w:val="4"/>
                <w:rFonts w:ascii="宋体" w:hAnsi="宋体"/>
                <w:color w:val="auto"/>
                <w:sz w:val="20"/>
                <w:szCs w:val="20"/>
              </w:rPr>
            </w:pPr>
            <w:r>
              <w:rPr>
                <w:rFonts w:hint="eastAsia" w:ascii="宋体" w:hAnsi="宋体" w:cs="宋体"/>
                <w:b/>
                <w:bCs/>
                <w:kern w:val="0"/>
                <w:sz w:val="20"/>
                <w:szCs w:val="20"/>
              </w:rPr>
              <w:t>市基层价格（元）</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CBCC88">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支付分类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1786F9F">
            <w:pPr>
              <w:widowControl/>
              <w:jc w:val="center"/>
              <w:textAlignment w:val="center"/>
              <w:rPr>
                <w:rFonts w:hint="eastAsia" w:ascii="宋体" w:hAnsi="宋体" w:cs="宋体"/>
                <w:b/>
                <w:bCs/>
                <w:kern w:val="0"/>
                <w:sz w:val="20"/>
                <w:szCs w:val="20"/>
              </w:rPr>
            </w:pPr>
            <w:r>
              <w:rPr>
                <w:rFonts w:hint="eastAsia" w:ascii="宋体" w:hAnsi="宋体" w:cs="宋体"/>
                <w:b/>
                <w:bCs/>
                <w:kern w:val="0"/>
                <w:sz w:val="20"/>
                <w:szCs w:val="20"/>
                <w:lang w:bidi="ar"/>
              </w:rPr>
              <w:t>自付比例</w:t>
            </w:r>
          </w:p>
        </w:tc>
      </w:tr>
      <w:tr w14:paraId="6860B0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9A2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 xml:space="preserve">1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7A8A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012100000010000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0154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病理诊断费</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1EE86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病理科基于本院自制或患者自行携带的病理样本进行诊断，出具报告。</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1284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所定价格涵盖病理样本接收、判读、诊断、人工智能辅助诊断、出具报告并上传等步骤所需的人力资源和基本物质资源消耗。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CCD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01术中冷冻病理诊断</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13B1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01人工智能辅助诊断</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5B6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CB6D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病理诊断计价单位“次”覆盖一次完整的取样所涉及的病理切片。单次病理诊断以10张以内切片为基础计价，超出部分每增加10张（含以内）切片加收40元，每次加收不超过100元。2.医疗机构未上传病理诊断报告的，减收5元。3.如医疗机构自身无法完成诊断，向患者收取“病理诊断费”后，需其他医院提供诊断支持的，应自行协商确定收益分配，不得再向患者收取其他病理诊断费用。4.经患者申请或同意，商请其他医疗机构参与远程会诊的，由邀请方医疗机构按照受邀方医疗机构标准收取“会诊费（远程会诊）”。</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3D93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F67B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71AD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81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3916E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F7AA523">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EB92D71">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w:t>
            </w:r>
          </w:p>
        </w:tc>
      </w:tr>
      <w:tr w14:paraId="684FB6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F975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53193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012100000010001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8F81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病理诊断费-术中冷冻病理诊断（加收）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96532E">
            <w:pPr>
              <w:keepNext w:val="0"/>
              <w:keepLines w:val="0"/>
              <w:pageBreakBefore w:val="0"/>
              <w:widowControl/>
              <w:kinsoku/>
              <w:wordWrap/>
              <w:overflowPunct/>
              <w:topLinePunct w:val="0"/>
              <w:autoSpaceDE/>
              <w:autoSpaceDN/>
              <w:bidi w:val="0"/>
              <w:adjustRightInd/>
              <w:snapToGrid/>
              <w:spacing w:line="240" w:lineRule="exact"/>
              <w:jc w:val="center"/>
              <w:rPr>
                <w:rStyle w:val="6"/>
                <w:rFonts w:hint="eastAsia" w:ascii="宋体" w:hAnsi="宋体" w:eastAsia="宋体" w:cs="宋体"/>
                <w:color w:val="auto"/>
                <w:spacing w:val="-11"/>
                <w:sz w:val="20"/>
                <w:szCs w:val="20"/>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5D5ACD">
            <w:pPr>
              <w:keepNext w:val="0"/>
              <w:keepLines w:val="0"/>
              <w:pageBreakBefore w:val="0"/>
              <w:widowControl/>
              <w:kinsoku/>
              <w:wordWrap/>
              <w:overflowPunct/>
              <w:topLinePunct w:val="0"/>
              <w:autoSpaceDE/>
              <w:autoSpaceDN/>
              <w:bidi w:val="0"/>
              <w:adjustRightInd/>
              <w:snapToGrid/>
              <w:spacing w:line="240" w:lineRule="exact"/>
              <w:jc w:val="center"/>
              <w:rPr>
                <w:rStyle w:val="5"/>
                <w:rFonts w:hint="eastAsia" w:ascii="宋体" w:hAnsi="宋体" w:eastAsia="宋体" w:cs="宋体"/>
                <w:color w:val="auto"/>
                <w:sz w:val="20"/>
                <w:szCs w:val="20"/>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4AE2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3677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41715B">
            <w:pPr>
              <w:keepNext w:val="0"/>
              <w:keepLines w:val="0"/>
              <w:pageBreakBefore w:val="0"/>
              <w:widowControl/>
              <w:kinsoku/>
              <w:wordWrap/>
              <w:overflowPunct/>
              <w:topLinePunct w:val="0"/>
              <w:autoSpaceDE/>
              <w:autoSpaceDN/>
              <w:bidi w:val="0"/>
              <w:adjustRightInd/>
              <w:snapToGrid/>
              <w:spacing w:line="240" w:lineRule="exact"/>
              <w:jc w:val="center"/>
              <w:rPr>
                <w:rStyle w:val="5"/>
                <w:rFonts w:hint="eastAsia" w:ascii="宋体" w:hAnsi="宋体" w:eastAsia="宋体" w:cs="宋体"/>
                <w:color w:val="auto"/>
                <w:sz w:val="20"/>
                <w:szCs w:val="20"/>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8A236E">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1F32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363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23BB9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B6EC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30</w:t>
            </w:r>
          </w:p>
        </w:tc>
        <w:tc>
          <w:tcPr>
            <w:tcW w:w="615" w:type="dxa"/>
            <w:vMerge w:val="continue"/>
            <w:tcBorders>
              <w:left w:val="single" w:color="auto" w:sz="4" w:space="0"/>
              <w:right w:val="single" w:color="000000" w:sz="4" w:space="0"/>
            </w:tcBorders>
            <w:noWrap w:val="0"/>
            <w:tcMar>
              <w:left w:w="57" w:type="dxa"/>
              <w:right w:w="57" w:type="dxa"/>
            </w:tcMar>
            <w:vAlign w:val="center"/>
          </w:tcPr>
          <w:p w14:paraId="43D4C790">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left w:val="single" w:color="auto" w:sz="4" w:space="0"/>
              <w:right w:val="single" w:color="000000" w:sz="4" w:space="0"/>
            </w:tcBorders>
            <w:noWrap w:val="0"/>
            <w:tcMar>
              <w:left w:w="57" w:type="dxa"/>
              <w:right w:w="57" w:type="dxa"/>
            </w:tcMar>
            <w:vAlign w:val="center"/>
          </w:tcPr>
          <w:p w14:paraId="56A9744B">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p>
        </w:tc>
      </w:tr>
      <w:tr w14:paraId="7355C4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0344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70FD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012100000010100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890B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病理诊断费-人工智能辅助诊断（扩展）</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650BEC">
            <w:pPr>
              <w:keepNext w:val="0"/>
              <w:keepLines w:val="0"/>
              <w:pageBreakBefore w:val="0"/>
              <w:widowControl/>
              <w:kinsoku/>
              <w:wordWrap/>
              <w:overflowPunct/>
              <w:topLinePunct w:val="0"/>
              <w:autoSpaceDE/>
              <w:autoSpaceDN/>
              <w:bidi w:val="0"/>
              <w:adjustRightInd/>
              <w:snapToGrid/>
              <w:spacing w:line="240" w:lineRule="exact"/>
              <w:jc w:val="center"/>
              <w:rPr>
                <w:rStyle w:val="6"/>
                <w:rFonts w:hint="eastAsia" w:ascii="宋体" w:hAnsi="宋体" w:eastAsia="宋体" w:cs="宋体"/>
                <w:color w:val="auto"/>
                <w:spacing w:val="-11"/>
                <w:sz w:val="20"/>
                <w:szCs w:val="20"/>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CCEE7B">
            <w:pPr>
              <w:keepNext w:val="0"/>
              <w:keepLines w:val="0"/>
              <w:pageBreakBefore w:val="0"/>
              <w:widowControl/>
              <w:kinsoku/>
              <w:wordWrap/>
              <w:overflowPunct/>
              <w:topLinePunct w:val="0"/>
              <w:autoSpaceDE/>
              <w:autoSpaceDN/>
              <w:bidi w:val="0"/>
              <w:adjustRightInd/>
              <w:snapToGrid/>
              <w:spacing w:line="240" w:lineRule="exact"/>
              <w:jc w:val="center"/>
              <w:rPr>
                <w:rStyle w:val="5"/>
                <w:rFonts w:hint="eastAsia" w:ascii="宋体" w:hAnsi="宋体" w:eastAsia="宋体" w:cs="宋体"/>
                <w:color w:val="auto"/>
                <w:sz w:val="20"/>
                <w:szCs w:val="20"/>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F298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0AF0F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87364B">
            <w:pPr>
              <w:keepNext w:val="0"/>
              <w:keepLines w:val="0"/>
              <w:pageBreakBefore w:val="0"/>
              <w:widowControl/>
              <w:kinsoku/>
              <w:wordWrap/>
              <w:overflowPunct/>
              <w:topLinePunct w:val="0"/>
              <w:autoSpaceDE/>
              <w:autoSpaceDN/>
              <w:bidi w:val="0"/>
              <w:adjustRightInd/>
              <w:snapToGrid/>
              <w:spacing w:line="240" w:lineRule="exact"/>
              <w:jc w:val="center"/>
              <w:rPr>
                <w:rStyle w:val="5"/>
                <w:rFonts w:hint="eastAsia" w:ascii="宋体" w:hAnsi="宋体" w:eastAsia="宋体" w:cs="宋体"/>
                <w:color w:val="auto"/>
                <w:sz w:val="20"/>
                <w:szCs w:val="20"/>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31E833">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418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835E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AB49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81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DBC7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C00EC8D">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86C16F6">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p>
        </w:tc>
      </w:tr>
      <w:tr w14:paraId="1ECE73C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3A37B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F108C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D12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病理诊断费（远程）</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4B04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患者通过邮寄、互联网等各种方式远程递送病理样本，病理科基于病理样本进行诊断，出具报告。</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C2D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所定价格涵盖病理样本接收、判读、诊断、人工智能辅助诊断、出具报告并上传等步骤所需的人力资源和基本物质资源消耗。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57E1F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4802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kern w:val="0"/>
                <w:sz w:val="20"/>
                <w:szCs w:val="20"/>
              </w:rPr>
            </w:pPr>
            <w:r>
              <w:rPr>
                <w:rFonts w:hint="eastAsia" w:ascii="宋体" w:hAnsi="宋体" w:eastAsia="宋体" w:cs="宋体"/>
                <w:i w:val="0"/>
                <w:iCs w:val="0"/>
                <w:color w:val="000000"/>
                <w:kern w:val="0"/>
                <w:sz w:val="20"/>
                <w:szCs w:val="20"/>
                <w:u w:val="none"/>
                <w:lang w:val="en-US" w:eastAsia="zh-CN" w:bidi="ar"/>
              </w:rPr>
              <w:t>01人工智能辅助诊断</w:t>
            </w: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57B1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DE4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1.单次病理诊断以10张以内切片为基础计价，超出部分每增加10张（含以内）切片加收40元，每次加收不超过100元。2.医疗机构未上传病理诊断报告的，减收5元。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25D51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A2F0C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514A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81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D828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65</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701A4684">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8A7733C">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469674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86879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8D91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012100000020100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6CFC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病理诊断费（远程）-人工智能辅助诊断（扩展）</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9CD0CE9">
            <w:pPr>
              <w:keepNext w:val="0"/>
              <w:keepLines w:val="0"/>
              <w:pageBreakBefore w:val="0"/>
              <w:widowControl/>
              <w:kinsoku/>
              <w:wordWrap/>
              <w:overflowPunct/>
              <w:topLinePunct w:val="0"/>
              <w:autoSpaceDE/>
              <w:autoSpaceDN/>
              <w:bidi w:val="0"/>
              <w:adjustRightInd/>
              <w:snapToGrid/>
              <w:spacing w:line="240" w:lineRule="exact"/>
              <w:jc w:val="center"/>
              <w:rPr>
                <w:rStyle w:val="6"/>
                <w:rFonts w:hint="eastAsia" w:ascii="宋体" w:hAnsi="宋体" w:eastAsia="宋体" w:cs="宋体"/>
                <w:color w:val="auto"/>
                <w:spacing w:val="-11"/>
                <w:sz w:val="20"/>
                <w:szCs w:val="20"/>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85D0B1">
            <w:pPr>
              <w:keepNext w:val="0"/>
              <w:keepLines w:val="0"/>
              <w:pageBreakBefore w:val="0"/>
              <w:widowControl/>
              <w:kinsoku/>
              <w:wordWrap/>
              <w:overflowPunct/>
              <w:topLinePunct w:val="0"/>
              <w:autoSpaceDE/>
              <w:autoSpaceDN/>
              <w:bidi w:val="0"/>
              <w:adjustRightInd/>
              <w:snapToGrid/>
              <w:spacing w:line="240" w:lineRule="exact"/>
              <w:jc w:val="center"/>
              <w:rPr>
                <w:rStyle w:val="5"/>
                <w:rFonts w:hint="eastAsia" w:ascii="宋体" w:hAnsi="宋体" w:eastAsia="宋体" w:cs="宋体"/>
                <w:color w:val="auto"/>
                <w:sz w:val="20"/>
                <w:szCs w:val="20"/>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47B8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FDC5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EA68157">
            <w:pPr>
              <w:keepNext w:val="0"/>
              <w:keepLines w:val="0"/>
              <w:pageBreakBefore w:val="0"/>
              <w:widowControl/>
              <w:kinsoku/>
              <w:wordWrap/>
              <w:overflowPunct/>
              <w:topLinePunct w:val="0"/>
              <w:autoSpaceDE/>
              <w:autoSpaceDN/>
              <w:bidi w:val="0"/>
              <w:adjustRightInd/>
              <w:snapToGrid/>
              <w:spacing w:line="240" w:lineRule="exact"/>
              <w:jc w:val="center"/>
              <w:rPr>
                <w:rStyle w:val="5"/>
                <w:rFonts w:hint="eastAsia" w:ascii="宋体" w:hAnsi="宋体" w:eastAsia="宋体" w:cs="宋体"/>
                <w:color w:val="auto"/>
                <w:sz w:val="20"/>
                <w:szCs w:val="20"/>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F6E538">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5465D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5D4F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16A7B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81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BFCC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65</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70ACEDF">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7369900C">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p>
        </w:tc>
      </w:tr>
      <w:tr w14:paraId="15D79D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A6E97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3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3AAF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011201000010000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0EE4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活检取材费（钳夹）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492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通过钳（剪）直接夹取各类病变组织。</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388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所定价格涵盖定位、消毒、取材等步骤所需的人力资源和基本物质资源消耗。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3157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03E9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24E9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10FC60">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6B05C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43761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4C50E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FD168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33F689">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50A286C">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35A0DB9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74DF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4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DCAC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011201000020000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0143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活检取材费(Ⅰ类穿刺）</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844B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通过穿刺针或活检枪获取病变组织或细胞。</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03A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所定价格涵盖定位、消毒、穿刺、取材、止血、包扎等步骤所需的人力资源和基本物质资源消耗。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0552F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2E7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ECEB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5130C5">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956AD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453E4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188FE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B2FF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CB123F">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F7AA29">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F7AA8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4CDE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5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5C24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011201000030000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EEB2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活检取材费(Ⅱ类穿刺）</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9F669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通过穿刺针或活检枪获取病变组织或细胞。</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8519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所定价格涵盖定位、消毒、穿刺、取材、止血、包扎等步骤所需的人力资源和基本物质资源消耗。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B2E0B1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46834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2E40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28C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本项目所称的“Ⅱ类穿刺”指：穿刺胸腹、腰椎、膀胱，如同时穿刺多个部位，可叠加收取。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C50AC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7EB0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58B28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FD36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C073536">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31D4B83">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72EE9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B525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6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1FE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011201000040000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43F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活检取材费(Ⅲ类穿刺）</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A796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通过穿刺针或活检枪获取病变组织或细胞。</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E3A4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所定价格涵盖定位、消毒、穿刺、取材、止血、包扎等步骤所需的人力资源和基本物质资源消耗。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0F25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8B8F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AE33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76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本项目所称的“Ⅲ类穿刺”指：穿刺甲状腺、前列腺、胰腺、肾，如同时穿刺多个部位，可叠加收取。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6DC6B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4616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AA7B6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89C1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86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C2A305A">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4D57AF">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BCEBA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F712A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7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4DFC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011201000050000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F6CD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活检取材费(Ⅳ类穿刺）</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37CD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通过穿刺针或活检枪获取病变组织或细胞。</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43D22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所定价格涵盖定位、消毒、穿刺、取材、止血、包扎等步骤所需的人力资源和基本物质资源消耗。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BC00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2D08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D1E9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9B9C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本项目所称的“Ⅳ类穿刺”指：颅内、眼内、脊髓、心肌，如同时穿刺多个部位，可叠加收取。</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477D4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A4E74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135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E2FE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115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B11A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28A2C43">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731CE1">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53F546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56"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DED5AC">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8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F7C95CA">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011201000060000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6CA4BD">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活检取材费（切开）</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FFADEF">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通过切开获取各类病变组织。</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EE1A92">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所定价格涵盖定位、消毒、切开、取材、缝合、止血、包扎等步骤所需的人力资源和基本物质资源消耗。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AD7399">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ED4F96">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E48B63">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85073C">
            <w:pPr>
              <w:keepNext w:val="0"/>
              <w:keepLines w:val="0"/>
              <w:pageBreakBefore w:val="0"/>
              <w:widowControl/>
              <w:kinsoku/>
              <w:wordWrap/>
              <w:overflowPunct/>
              <w:topLinePunct w:val="0"/>
              <w:autoSpaceDE/>
              <w:autoSpaceDN/>
              <w:bidi w:val="0"/>
              <w:adjustRightInd/>
              <w:snapToGrid/>
              <w:spacing w:line="21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C92DD4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E67AFE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333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950F035">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283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FC935A">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226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D4917F">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B8E2497">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1C9FE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57"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E97D43">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9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0274E4">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011201000070000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47BBCA">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活检取材费（经皮介入）</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CBADE2">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通过置管介入方式获取各类病变组织。</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E9B35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所定价格涵盖定位、消毒、穿刺、置管、取材、撤除等步骤所需的人力资源和基本物质资源消耗。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2C5467">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6B5535">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166CE3B">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A2ED145">
            <w:pPr>
              <w:keepNext w:val="0"/>
              <w:keepLines w:val="0"/>
              <w:pageBreakBefore w:val="0"/>
              <w:widowControl/>
              <w:kinsoku/>
              <w:wordWrap/>
              <w:overflowPunct/>
              <w:topLinePunct w:val="0"/>
              <w:autoSpaceDE/>
              <w:autoSpaceDN/>
              <w:bidi w:val="0"/>
              <w:adjustRightInd/>
              <w:snapToGrid/>
              <w:spacing w:line="21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B8809A7">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4094C0">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315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EC52664">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268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4209CD">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214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579B0E">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FA30D1">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D0374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4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9B50FD">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10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4B3BB1">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011201000080000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ADA367C">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活检取材费（内镜下）</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D0F2653">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通过内镜获取各类病变组织。</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865880">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所定价格涵盖定位、消毒、置镜、取材、撤除等步骤所需的人力资源和基本物质资源消耗。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FA864F">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94E3CA">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7C74C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02B2DA">
            <w:pPr>
              <w:keepNext w:val="0"/>
              <w:keepLines w:val="0"/>
              <w:pageBreakBefore w:val="0"/>
              <w:widowControl/>
              <w:kinsoku/>
              <w:wordWrap/>
              <w:overflowPunct/>
              <w:topLinePunct w:val="0"/>
              <w:autoSpaceDE/>
              <w:autoSpaceDN/>
              <w:bidi w:val="0"/>
              <w:adjustRightInd/>
              <w:snapToGrid/>
              <w:spacing w:line="21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ECC4BF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190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54D62D0">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171</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E963C0">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4EE8865">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116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5C8D0BB">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47FA8AF">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730688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EFCE3DF">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11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BB9917">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E84631">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病理标本处理费（组织病理-常规）</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9E3FC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对送检的各类组织标本进行处理。</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820E0FD">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所定价格涵盖标本接收、标本成像、病理描述、取材、脱水、透明、浸蜡、包埋、切片、资料存储、废弃物处理、环境监测等步骤所需的人力资源和基本物质资源消耗。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CB4AD2">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01限时处理</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6742C6">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5023F1">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每蜡块</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28FD9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本项目所称的“限时处理”指：医疗机构在24小时内完成标本的完整检查诊断，并出具诊断报告的全过程。</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18704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68B2864">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32</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794872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263992C">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22</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16F86A22">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37D6BE6F">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A6C4B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7C815C">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i w:val="0"/>
                <w:iCs w:val="0"/>
                <w:color w:val="auto"/>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EECF22">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012100000030001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4E74C4">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病理标本处理费（组织病理-常规）-限时处理（加收）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23D3DF">
            <w:pPr>
              <w:keepNext w:val="0"/>
              <w:keepLines w:val="0"/>
              <w:pageBreakBefore w:val="0"/>
              <w:widowControl/>
              <w:kinsoku/>
              <w:wordWrap/>
              <w:overflowPunct/>
              <w:topLinePunct w:val="0"/>
              <w:autoSpaceDE/>
              <w:autoSpaceDN/>
              <w:bidi w:val="0"/>
              <w:adjustRightInd/>
              <w:snapToGrid/>
              <w:spacing w:line="210" w:lineRule="exact"/>
              <w:jc w:val="center"/>
              <w:rPr>
                <w:rStyle w:val="6"/>
                <w:rFonts w:hint="eastAsia" w:ascii="宋体" w:hAnsi="宋体" w:eastAsia="宋体" w:cs="宋体"/>
                <w:color w:val="auto"/>
                <w:spacing w:val="-11"/>
                <w:sz w:val="20"/>
                <w:szCs w:val="20"/>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0F736FB">
            <w:pPr>
              <w:keepNext w:val="0"/>
              <w:keepLines w:val="0"/>
              <w:pageBreakBefore w:val="0"/>
              <w:widowControl/>
              <w:kinsoku/>
              <w:wordWrap/>
              <w:overflowPunct/>
              <w:topLinePunct w:val="0"/>
              <w:autoSpaceDE/>
              <w:autoSpaceDN/>
              <w:bidi w:val="0"/>
              <w:adjustRightInd/>
              <w:snapToGrid/>
              <w:spacing w:line="210" w:lineRule="exact"/>
              <w:jc w:val="center"/>
              <w:rPr>
                <w:rStyle w:val="5"/>
                <w:rFonts w:hint="eastAsia" w:ascii="宋体" w:hAnsi="宋体" w:eastAsia="宋体" w:cs="宋体"/>
                <w:color w:val="auto"/>
                <w:sz w:val="20"/>
                <w:szCs w:val="20"/>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5B78A2">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kern w:val="0"/>
                <w:sz w:val="20"/>
                <w:szCs w:val="20"/>
                <w:lang w:bidi="ar"/>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7444DE">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E9ED29">
            <w:pPr>
              <w:keepNext w:val="0"/>
              <w:keepLines w:val="0"/>
              <w:pageBreakBefore w:val="0"/>
              <w:widowControl/>
              <w:kinsoku/>
              <w:wordWrap/>
              <w:overflowPunct/>
              <w:topLinePunct w:val="0"/>
              <w:autoSpaceDE/>
              <w:autoSpaceDN/>
              <w:bidi w:val="0"/>
              <w:adjustRightInd/>
              <w:snapToGrid/>
              <w:spacing w:line="210" w:lineRule="exact"/>
              <w:jc w:val="center"/>
              <w:rPr>
                <w:rStyle w:val="5"/>
                <w:rFonts w:hint="eastAsia" w:ascii="宋体" w:hAnsi="宋体" w:eastAsia="宋体" w:cs="宋体"/>
                <w:color w:val="auto"/>
                <w:sz w:val="20"/>
                <w:szCs w:val="20"/>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D8CCBDF">
            <w:pPr>
              <w:keepNext w:val="0"/>
              <w:keepLines w:val="0"/>
              <w:pageBreakBefore w:val="0"/>
              <w:widowControl/>
              <w:kinsoku/>
              <w:wordWrap/>
              <w:overflowPunct/>
              <w:topLinePunct w:val="0"/>
              <w:autoSpaceDE/>
              <w:autoSpaceDN/>
              <w:bidi w:val="0"/>
              <w:adjustRightInd/>
              <w:snapToGrid/>
              <w:spacing w:line="21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BA377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856B4C">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126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A4F464E">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0DA59FF">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86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5A691F6F">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42E38540">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p>
        </w:tc>
      </w:tr>
      <w:tr w14:paraId="15D8F1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421335">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12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7C28DD">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097E9">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病理标本处理费（组织病理-复杂）</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840A6">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对送检的各类复杂组织标本进行处理。</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944A37">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所定价格涵盖标本接收、标本成像、病理描述、取材、脱水、透明、浸蜡、包埋、切片、资料存储、废弃物处理、环境监测等步骤所需的人力资源和基本物质资源消耗。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B941748">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DEBA29">
            <w:pPr>
              <w:keepNext w:val="0"/>
              <w:keepLines w:val="0"/>
              <w:pageBreakBefore w:val="0"/>
              <w:widowControl/>
              <w:kinsoku/>
              <w:wordWrap/>
              <w:overflowPunct/>
              <w:topLinePunct w:val="0"/>
              <w:autoSpaceDE/>
              <w:autoSpaceDN/>
              <w:bidi w:val="0"/>
              <w:adjustRightInd/>
              <w:snapToGrid/>
              <w:spacing w:line="21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6D0497">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每蜡块</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F2DA0C">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所称的“复杂”指：涉及大器官切除（肝、肾、肠、肺、全喉、全膀胱、前列腺、胃、胎儿胎盘）、恶性肿瘤根治术或清扫术、多部位联合切除的病理标本，且标本在进行器官大切片前，标本宽度应超过24毫米、长度应超过35毫米。</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62DAE9">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4B82BF">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63</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DF5081D">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8100DA7">
            <w:pPr>
              <w:keepNext w:val="0"/>
              <w:keepLines w:val="0"/>
              <w:pageBreakBefore w:val="0"/>
              <w:widowControl/>
              <w:suppressLineNumbers w:val="0"/>
              <w:kinsoku/>
              <w:wordWrap/>
              <w:overflowPunct/>
              <w:topLinePunct w:val="0"/>
              <w:autoSpaceDE/>
              <w:autoSpaceDN/>
              <w:bidi w:val="0"/>
              <w:adjustRightInd/>
              <w:snapToGrid/>
              <w:spacing w:line="21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A192CB">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C399B2">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BC65A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EAD2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13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3E3F9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569D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病理标本处理费（细胞病理）</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AF8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对送检的各类细胞、体液等标本进行处理。</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14E1A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所定价格涵盖标本接收、离心、制片、固定、资料存储、废弃物处理、环境监测、必要时进行沉降等步骤所需的人力资源和基本物质资源消耗。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F5C95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31EA0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24936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每玻片</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CE819E">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2D0D8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120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83101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65999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E59C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DEE18EE">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FF4A4D">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6668B4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7370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14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5042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3878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病理标本处理费（分子病理）</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C485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对送检的各类分子病理标本进行处理。</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B592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所定价格涵盖标本接收、评价及评估有效病变含量、组织或细胞蜡块切片或蜡卷制备、脱蜡、废弃物处理、环境监测等步骤所需的人力资源和基本物质资源消耗。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75C3BE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E3B03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45D9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次</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339D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本项目所称的“分子病理标本”指：非原位杂交核酸检测标本。</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C4A93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6F209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0DE07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D125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CAF7A0D">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40C080">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477957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0E8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15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5D61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FC67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病理标本处理费（电子显微镜病理）</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1745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对送检的各类电子显微镜病理标本进行处理。</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332A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所定价格涵盖标本接收、评估有效病变含量、选取制片区域、取材、修块、前固定、漂洗、后固定、脱水、渗透、包埋、切片、废弃物处理、环境监测等步骤所需的人力资源和基本物质资源消耗。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9175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3B5E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2F21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每切片</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CA2ABC">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912D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D35A8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495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76982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421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74A65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337</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D89153">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29C05CC">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304AFF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36F8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16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DD07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83D4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病理标本处理费（冷冻标本）</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322A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对术中送检的各类新鲜组织标本，进行冷冻切片制备。</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7AF53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所定价格涵盖标本接收、病理描述、取材、包埋、切片及废弃物处理、环境监测等步骤所需的人力资源和基本物质资源消耗。（不包含冰剩、冰余的组织病理处理）</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4B97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3BDA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1FAC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每组织块</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AA7A77">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05B49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75</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842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5E04C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38DB5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46</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A3A4B43">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900EDE7">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B06E4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76"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80C7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17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7F99A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012100000090000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61253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细胞病理蜡块制作费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0CE0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根据病理诊断需求，将送检的各类细胞病理标本制作成细胞蜡块</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D1C86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所定价格涵盖标本接收、标本离心、固定、脱水、透明、浸蜡、包埋、切片、资料存储、废弃物处理、环境监测等步骤所需的人力资源和基本物质资源消耗。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E546A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83C7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2D2B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每蜡块</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1CF8C4">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7AD74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B018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36</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76A2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D3B0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3B31241">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3C5746">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3D7044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304"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0338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18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AD44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DAB84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病理标本切片复制费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C671E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通过人工或自动化等各种方式，从蜡块中制作供院外使用的各类实体切片，并同步进行数字化扫描。</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7517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所定价格涵盖切片及废弃物处理、环境监测、切片扫描、存储、上传并向患者提供必要的数字化图像等步骤所需的人力资源和基本物质资源消耗。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DC5C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BC020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3076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每切片</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FED9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1.本项目所称的“切片”包括但不限于：不染色切片、染色切片、涂胶切片或组织膜片。2.医疗机构未提供病理数字化切片图像的，减收5元，单次减收不超过15元。3.患者向医疗机构借用切片的，不得按此收费。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AA170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3558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8877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23</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F10A6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18</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5A896A">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6C6080B">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14B242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26"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134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19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74A3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012100000110000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EE7C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病理样本化学染色检查费</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21A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通过人工或自动化等各种方式，对各类病理样本进行化学染色，区分不同组织类型与细胞结构。</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5E152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所定价格涵盖样本接收、处理、化学染色、脱色、洗涤、封片、切片数字化图像处理存储与上传、废弃物处理、环境监测等步骤所需的人力资源和基本物质资源消耗。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EA9B1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AD648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767C4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每切片</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2908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医疗机构未上传病理数字化切片图像的，减收5元，单次减收不超过15元。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B120A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E44E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47D60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AE98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30</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6333775">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0D4FF1C">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45E6A4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67" w:hRule="atLeast"/>
          <w:jc w:val="center"/>
        </w:trPr>
        <w:tc>
          <w:tcPr>
            <w:tcW w:w="43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5A76D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20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999A5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012100000120000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6A71A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病理样本免疫组织化学染色检查费（常规）</w:t>
            </w:r>
          </w:p>
        </w:tc>
        <w:tc>
          <w:tcPr>
            <w:tcW w:w="2098"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45F44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通过人工或自动化等各种方式，对各类病理样本进行免疫组织化学染色，区分组织类型与细胞结构。</w:t>
            </w:r>
          </w:p>
        </w:tc>
        <w:tc>
          <w:tcPr>
            <w:tcW w:w="198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CFF86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所定价格涵盖样本接收、处理、脱蜡、抗原修复、一抗孵育、二抗孵育、显色、复染、封片、切片数字化图像处理存储与上传、废弃物处理、环境监测等步骤所需的人力资源和基本物质资源消耗。</w:t>
            </w:r>
          </w:p>
        </w:tc>
        <w:tc>
          <w:tcPr>
            <w:tcW w:w="73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079B9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01多重染色</w:t>
            </w:r>
          </w:p>
        </w:tc>
        <w:tc>
          <w:tcPr>
            <w:tcW w:w="420"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9E614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74E2A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每切片</w:t>
            </w:r>
          </w:p>
        </w:tc>
        <w:tc>
          <w:tcPr>
            <w:tcW w:w="1875" w:type="dxa"/>
            <w:vMerge w:val="restart"/>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6AFF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1.本项目所称的“多重染色”指：同切片使用两种及两种以上染色技术。2.医疗机构未上传病理数字化切片图像的，减收5元，单次减收不超过15元。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04D6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160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8874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144</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7AF20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122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76736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98</w:t>
            </w:r>
          </w:p>
        </w:tc>
        <w:tc>
          <w:tcPr>
            <w:tcW w:w="615"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54D66227">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甲类</w:t>
            </w:r>
          </w:p>
        </w:tc>
        <w:tc>
          <w:tcPr>
            <w:tcW w:w="626" w:type="dxa"/>
            <w:vMerge w:val="restart"/>
            <w:tcBorders>
              <w:top w:val="single" w:color="000000" w:sz="4" w:space="0"/>
              <w:left w:val="single" w:color="auto" w:sz="4" w:space="0"/>
              <w:right w:val="single" w:color="000000" w:sz="4" w:space="0"/>
            </w:tcBorders>
            <w:noWrap w:val="0"/>
            <w:tcMar>
              <w:left w:w="57" w:type="dxa"/>
              <w:right w:w="57" w:type="dxa"/>
            </w:tcMar>
            <w:vAlign w:val="center"/>
          </w:tcPr>
          <w:p w14:paraId="200A058E">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w:t>
            </w:r>
          </w:p>
        </w:tc>
      </w:tr>
      <w:tr w14:paraId="11C524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47" w:hRule="atLeast"/>
          <w:jc w:val="center"/>
        </w:trPr>
        <w:tc>
          <w:tcPr>
            <w:tcW w:w="43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47D7E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kern w:val="0"/>
                <w:sz w:val="20"/>
                <w:szCs w:val="20"/>
                <w:u w:val="none"/>
                <w:lang w:val="en-US" w:eastAsia="zh-CN" w:bidi="ar"/>
              </w:rPr>
            </w:pP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8F8E5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012100000120001</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0F0E4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病理样本免疫组织化学染色检查费（常规）-多重染色（加收）</w:t>
            </w:r>
          </w:p>
        </w:tc>
        <w:tc>
          <w:tcPr>
            <w:tcW w:w="2098"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C9257D">
            <w:pPr>
              <w:keepNext w:val="0"/>
              <w:keepLines w:val="0"/>
              <w:pageBreakBefore w:val="0"/>
              <w:widowControl/>
              <w:kinsoku/>
              <w:wordWrap/>
              <w:overflowPunct/>
              <w:topLinePunct w:val="0"/>
              <w:autoSpaceDE/>
              <w:autoSpaceDN/>
              <w:bidi w:val="0"/>
              <w:adjustRightInd/>
              <w:snapToGrid/>
              <w:spacing w:line="240" w:lineRule="exact"/>
              <w:jc w:val="center"/>
              <w:rPr>
                <w:rStyle w:val="6"/>
                <w:rFonts w:hint="eastAsia" w:ascii="宋体" w:hAnsi="宋体" w:eastAsia="宋体" w:cs="宋体"/>
                <w:color w:val="auto"/>
                <w:spacing w:val="-11"/>
                <w:sz w:val="20"/>
                <w:szCs w:val="20"/>
                <w:lang w:val="en-US" w:eastAsia="zh-CN" w:bidi="ar"/>
              </w:rPr>
            </w:pPr>
          </w:p>
        </w:tc>
        <w:tc>
          <w:tcPr>
            <w:tcW w:w="198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4485CBF">
            <w:pPr>
              <w:keepNext w:val="0"/>
              <w:keepLines w:val="0"/>
              <w:pageBreakBefore w:val="0"/>
              <w:widowControl/>
              <w:kinsoku/>
              <w:wordWrap/>
              <w:overflowPunct/>
              <w:topLinePunct w:val="0"/>
              <w:autoSpaceDE/>
              <w:autoSpaceDN/>
              <w:bidi w:val="0"/>
              <w:adjustRightInd/>
              <w:snapToGrid/>
              <w:spacing w:line="240" w:lineRule="exact"/>
              <w:jc w:val="center"/>
              <w:rPr>
                <w:rStyle w:val="5"/>
                <w:rFonts w:hint="eastAsia" w:ascii="宋体" w:hAnsi="宋体" w:eastAsia="宋体" w:cs="宋体"/>
                <w:color w:val="auto"/>
                <w:sz w:val="20"/>
                <w:szCs w:val="20"/>
                <w:lang w:val="en-US" w:eastAsia="zh-CN" w:bidi="ar"/>
              </w:rPr>
            </w:pPr>
          </w:p>
        </w:tc>
        <w:tc>
          <w:tcPr>
            <w:tcW w:w="73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05B27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D2B6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1BF8FFE">
            <w:pPr>
              <w:keepNext w:val="0"/>
              <w:keepLines w:val="0"/>
              <w:pageBreakBefore w:val="0"/>
              <w:widowControl/>
              <w:kinsoku/>
              <w:wordWrap/>
              <w:overflowPunct/>
              <w:topLinePunct w:val="0"/>
              <w:autoSpaceDE/>
              <w:autoSpaceDN/>
              <w:bidi w:val="0"/>
              <w:adjustRightInd/>
              <w:snapToGrid/>
              <w:spacing w:line="240" w:lineRule="exact"/>
              <w:jc w:val="center"/>
              <w:rPr>
                <w:rStyle w:val="5"/>
                <w:rFonts w:hint="eastAsia" w:ascii="宋体" w:hAnsi="宋体" w:eastAsia="宋体" w:cs="宋体"/>
                <w:color w:val="auto"/>
                <w:sz w:val="20"/>
                <w:szCs w:val="20"/>
                <w:lang w:val="en-US" w:eastAsia="zh-CN" w:bidi="ar"/>
              </w:rPr>
            </w:pPr>
          </w:p>
        </w:tc>
        <w:tc>
          <w:tcPr>
            <w:tcW w:w="1875" w:type="dxa"/>
            <w:vMerge w:val="continue"/>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2059D1B">
            <w:pPr>
              <w:keepNext w:val="0"/>
              <w:keepLines w:val="0"/>
              <w:pageBreakBefore w:val="0"/>
              <w:widowControl/>
              <w:kinsoku/>
              <w:wordWrap/>
              <w:overflowPunct/>
              <w:topLinePunct w:val="0"/>
              <w:autoSpaceDE/>
              <w:autoSpaceDN/>
              <w:bidi w:val="0"/>
              <w:adjustRightInd/>
              <w:snapToGrid/>
              <w:spacing w:line="240" w:lineRule="exact"/>
              <w:jc w:val="center"/>
              <w:rPr>
                <w:rStyle w:val="7"/>
                <w:rFonts w:hint="eastAsia" w:ascii="宋体" w:hAnsi="宋体" w:eastAsia="宋体" w:cs="宋体"/>
                <w:color w:val="auto"/>
                <w:sz w:val="20"/>
                <w:szCs w:val="20"/>
                <w:lang w:val="en-US" w:eastAsia="zh-CN" w:bidi="ar"/>
              </w:rPr>
            </w:pP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0886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320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48DA8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288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53DD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245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5F64E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196</w:t>
            </w:r>
          </w:p>
        </w:tc>
        <w:tc>
          <w:tcPr>
            <w:tcW w:w="615"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63C0F02E">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p>
        </w:tc>
        <w:tc>
          <w:tcPr>
            <w:tcW w:w="626" w:type="dxa"/>
            <w:vMerge w:val="continue"/>
            <w:tcBorders>
              <w:left w:val="single" w:color="auto" w:sz="4" w:space="0"/>
              <w:bottom w:val="single" w:color="000000" w:sz="4" w:space="0"/>
              <w:right w:val="single" w:color="000000" w:sz="4" w:space="0"/>
            </w:tcBorders>
            <w:noWrap w:val="0"/>
            <w:tcMar>
              <w:left w:w="57" w:type="dxa"/>
              <w:right w:w="57" w:type="dxa"/>
            </w:tcMar>
            <w:vAlign w:val="center"/>
          </w:tcPr>
          <w:p w14:paraId="247985A4">
            <w:pPr>
              <w:keepNext w:val="0"/>
              <w:keepLines w:val="0"/>
              <w:pageBreakBefore w:val="0"/>
              <w:widowControl/>
              <w:suppressLineNumbers w:val="0"/>
              <w:kinsoku/>
              <w:wordWrap/>
              <w:overflowPunct/>
              <w:topLinePunct w:val="0"/>
              <w:autoSpaceDE/>
              <w:autoSpaceDN/>
              <w:bidi w:val="0"/>
              <w:adjustRightInd w:val="0"/>
              <w:snapToGrid w:val="0"/>
              <w:spacing w:line="240" w:lineRule="exact"/>
              <w:ind w:left="-42" w:leftChars="-20" w:right="-42" w:rightChars="-20"/>
              <w:jc w:val="center"/>
              <w:textAlignment w:val="center"/>
              <w:rPr>
                <w:rFonts w:hint="eastAsia" w:ascii="宋体" w:hAnsi="宋体" w:eastAsia="宋体" w:cs="宋体"/>
                <w:i w:val="0"/>
                <w:iCs w:val="0"/>
                <w:color w:val="auto"/>
                <w:kern w:val="0"/>
                <w:sz w:val="20"/>
                <w:szCs w:val="20"/>
                <w:u w:val="none"/>
                <w:lang w:val="en-US" w:eastAsia="zh-CN" w:bidi="ar"/>
              </w:rPr>
            </w:pPr>
          </w:p>
        </w:tc>
      </w:tr>
      <w:tr w14:paraId="46B4EB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506"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2ABC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21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064F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012100000130000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2EA1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病理样本免疫组织化学染色检查费（增强）</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B0C70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通过人工或自动化等各种方式，对各类病理样本进行免疫组织化学染色，区分组织类型并识别用药对应靶点。</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44D7E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所定价格涵盖样本接收、处理、脱蜡、抗原修复、一抗孵育、二抗孵育、显色、复染、封片、切片数字化图像处理存储与上传、废弃物处理、环境监测等步骤所需的人力资源和基本物质资源消耗。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A191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71403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EDE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每切片</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6AD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1.不与病理样本免疫组织化学染色检查费（常规）同时收取。2.医疗机构未上传病理数字化切片图像的，减收5元，单次减收不超过15元。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F651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1000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92934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900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D51D8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765</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B816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612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3F4FA7">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76370E0">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0F6C09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5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48D9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22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DA30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012100000140000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15DD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原位核酸杂交检测费（化学探针）</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36D2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通过核酸探针与样本中的核酸进行互补配对，检测样本中的特定核酸分子序列。</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87BB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所定价格涵盖样本接收、处理、仪器准备、质控、变性杂交、洗涤、染色、封片、切片数字化图像处理存储与上传、废弃物处理、环境监测等步骤所需的人力资源和基本物质资源消耗。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8B37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D3076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32EA6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每切片·每探针</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CBE08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医疗机构未上传病理数字化切片图像的，减收5元，单次减收不超过15元。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F96FA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7170D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225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61D57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191</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E234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153</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0A43DA2">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B158C0">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79E24C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54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114F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23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B0F8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012100000150000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FB9B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原位核酸杂交检测费（荧光探针）</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74153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通过标记有荧光基团的核酸探针，与样本中的核酸进行互补配对，检测荧光信号定位和显示样本中特定核酸分子序列。</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EF9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所定价格涵盖样本接收、处理、仪器准备、质控、变性杂交、洗涤、染色、封片、切片数字化图像处理存储与上传、废弃物处理、环境监测等步骤所需的人力资源和基本物质资源消耗。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C3099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407EB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F561F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每切片·每探针</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7C7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1.医疗机构利用多重探针进行检测的，每增加一种探针加收600元，单次检查利用3种以上探针的，按3种探针计费。2.医疗机构未上传病理数字化切片图像的，减收5元，单次减收不超过15元。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638D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750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52910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675</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E3062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574</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C5A5A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459</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1A49597">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12C7197">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037310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30"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21C1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24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D13DA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012100000160000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A6E5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聚合酶链反应法检测费（病理样本）</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DFC92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通过酶促化学反应，扩增待测目标基因，通过电泳染色、颜色判读等方式分析判断。</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30859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样本接收、处理、仪器准备、校准、质控、提取核酸、扩增、电泳、显色结果读取以及数据分析、出具报告、数据存储、数据上传、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03C60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66742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EDA7A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每位点</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93934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1.医疗机构单次操作中进行多位点检测的，每增加一个位点加收100元，每次检查计费不超过2400元。2.本项目价格构成已包含检测结果分析并出具报告，医疗机构不得另收取病理诊断费。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5A3DF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220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70E6FB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198</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038A33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168</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E665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134</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910EE38">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B973F34">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12CC5DB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97"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5EC94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25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A46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012100000170000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7EF1E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实时荧光聚合酶链反应法检测费（病理样本）</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65BC1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通过荧光染料或荧光标记的特异性探针，对PCR产物进行标记跟踪，实时在线监控反应过程，对产物进行检测。</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879D5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所定价格涵盖样本接收、处理、仪器准备、校准、质控、提取核酸、扩增、信号监测以及数据分析、出具报告、数据存储、数据上传、废弃物处理、环境监测等步骤所需的人力资源和基本物质资源消耗。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9FDAF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9F640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FC8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每位点</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AB40D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1.医疗机构单次操作中进行多位点检测的，每增加一个位点加收200元，每次检查计费不超过4700元。2.本项目价格构成已包含检测结果分析并出具报告，医疗机构不得另收取病理诊断费。</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DAA3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330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F3B0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297</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1EC5D8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252</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80BA9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202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CBF268E">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629406B">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71A669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F76F99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26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33EF0C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012100000180000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55AFAF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双脱氧链终止核酸测序法检测费（病理样本）</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2D4C0F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通过双脱氧链终止技术，对核酸的碱基排列顺序进行测定，从而确定核酸分子的碱基序列。</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07E47B8">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所定价格涵盖样本接收、处理、核酸提取、仪器准备、校准、质控、扩增、测序结果读取以及数据分析、出具报告、数据存储、数据上传、废弃物处理、环境监测等步骤所需的人力资源和基本物质资源消耗。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ED57169">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E701151">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FD53683">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每靶序列</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CBE566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1.本项目价格构成已包含检测结果分析并出具报告，医疗机构不得另收取病理诊断费。2.医疗机构单次操作中进行多个靶序列检测的，每增加一个靶序列加收100元，每次检查计费不超过4700。</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1E1EB5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3E1B0E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4907EA9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306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59FCD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245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397A3D7A">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464F211">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080C4F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A4C5D9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27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557E4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012100000190000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1F4965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焦磷酸核酸测序法检测费（病理样本）</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C4B9CC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通过将待测核酸分子与特定核苷酸底物进行焦磷酸化反应，实时监测每次核酸聚合反应所产生的光信号，从而确定核酸分子的碱基序列。</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FCA7C22">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样本接收、核酸提取、仪器准备、校准、质控、测序反应、测序结果读取以及数据分析、生物信息分析、出具报告、数据存储、数据上传、废弃物处理、环境监测，必要时毛细管电泳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4CC754B">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3F1327F">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36FE337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每靶序列</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687F955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1.本项目价格构成已包含检测结果分析并出具报告，医疗机构不得另收取病理诊断费。2.医疗机构单次操作中进行多个靶序列检测的，每增加一个靶序列加收100元，每次检查收费不超过4700元。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63B63BC0">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400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1DB8DB5">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360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39CE88DF">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306</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6182115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245</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24331B2A">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0066A8CA">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r w14:paraId="223285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1" w:hRule="atLeast"/>
          <w:jc w:val="center"/>
        </w:trPr>
        <w:tc>
          <w:tcPr>
            <w:tcW w:w="43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C6903B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28 </w:t>
            </w:r>
          </w:p>
        </w:tc>
        <w:tc>
          <w:tcPr>
            <w:tcW w:w="1631"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762BFCDD">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012100000200000</w:t>
            </w:r>
          </w:p>
        </w:tc>
        <w:tc>
          <w:tcPr>
            <w:tcW w:w="14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2248EE1C">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高通量测序法检测费（病理样本）</w:t>
            </w:r>
          </w:p>
        </w:tc>
        <w:tc>
          <w:tcPr>
            <w:tcW w:w="2098"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8EF654">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6"/>
                <w:rFonts w:hint="eastAsia" w:ascii="宋体" w:hAnsi="宋体" w:eastAsia="宋体" w:cs="宋体"/>
                <w:color w:val="auto"/>
                <w:spacing w:val="-11"/>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通过可逆末端终止、半导体等各类测序技术，对样本内核酸特定序列进行测定，同时完成测序模版互补链的合成和序列数据的获取。</w:t>
            </w:r>
          </w:p>
        </w:tc>
        <w:tc>
          <w:tcPr>
            <w:tcW w:w="198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18DFB2F9">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所定价格涵盖样本接收、处理、核酸提取、仪器准备、校准、质控、扩增、文库构建、高通量测序以及结果读取、数据分析、生物信息分析、出具报告、数据存储、数据上传、废弃物处理、环境监测等步骤所需的人力资源和基本物质资源消耗。</w:t>
            </w:r>
          </w:p>
        </w:tc>
        <w:tc>
          <w:tcPr>
            <w:tcW w:w="73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024F0682">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kern w:val="0"/>
                <w:sz w:val="20"/>
                <w:szCs w:val="20"/>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BBFE044">
            <w:pPr>
              <w:keepNext w:val="0"/>
              <w:keepLines w:val="0"/>
              <w:pageBreakBefore w:val="0"/>
              <w:widowControl/>
              <w:kinsoku/>
              <w:wordWrap/>
              <w:overflowPunct/>
              <w:topLinePunct w:val="0"/>
              <w:autoSpaceDE/>
              <w:autoSpaceDN/>
              <w:bidi w:val="0"/>
              <w:adjustRightInd/>
              <w:snapToGrid/>
              <w:spacing w:line="230" w:lineRule="exact"/>
              <w:jc w:val="center"/>
              <w:rPr>
                <w:rFonts w:hint="eastAsia" w:ascii="宋体" w:hAnsi="宋体" w:eastAsia="宋体" w:cs="宋体"/>
                <w:b/>
                <w:bCs/>
                <w:kern w:val="0"/>
                <w:sz w:val="20"/>
                <w:szCs w:val="20"/>
              </w:rPr>
            </w:pPr>
          </w:p>
        </w:tc>
        <w:tc>
          <w:tcPr>
            <w:tcW w:w="55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4119B09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5"/>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每面板</w:t>
            </w:r>
          </w:p>
        </w:tc>
        <w:tc>
          <w:tcPr>
            <w:tcW w:w="1875" w:type="dxa"/>
            <w:tcBorders>
              <w:top w:val="single" w:color="000000" w:sz="4" w:space="0"/>
              <w:left w:val="single" w:color="000000" w:sz="4" w:space="0"/>
              <w:bottom w:val="single" w:color="000000" w:sz="4" w:space="0"/>
              <w:right w:val="single" w:color="000000" w:sz="4" w:space="0"/>
            </w:tcBorders>
            <w:noWrap w:val="0"/>
            <w:tcMar>
              <w:left w:w="57" w:type="dxa"/>
              <w:right w:w="57" w:type="dxa"/>
            </w:tcMar>
            <w:vAlign w:val="center"/>
          </w:tcPr>
          <w:p w14:paraId="550CE3D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Style w:val="7"/>
                <w:rFonts w:hint="eastAsia" w:ascii="宋体" w:hAnsi="宋体" w:eastAsia="宋体" w:cs="宋体"/>
                <w:color w:val="auto"/>
                <w:sz w:val="20"/>
                <w:szCs w:val="20"/>
                <w:lang w:val="en-US" w:eastAsia="zh-CN" w:bidi="ar"/>
              </w:rPr>
            </w:pPr>
            <w:r>
              <w:rPr>
                <w:rFonts w:hint="eastAsia" w:ascii="宋体" w:hAnsi="宋体" w:eastAsia="宋体" w:cs="宋体"/>
                <w:i w:val="0"/>
                <w:iCs w:val="0"/>
                <w:color w:val="000000"/>
                <w:kern w:val="0"/>
                <w:sz w:val="20"/>
                <w:szCs w:val="20"/>
                <w:u w:val="none"/>
                <w:lang w:val="en-US" w:eastAsia="zh-CN" w:bidi="ar"/>
              </w:rPr>
              <w:t>1.本项目价格构成已包含检测结果分析并出具报告，医疗机构不得另收取病理诊断费。2.医疗机构单次操作中进行多个面板检测的，每增加一个面板加收1200元，每次检查收费不得超过10000元。</w:t>
            </w:r>
          </w:p>
        </w:tc>
        <w:tc>
          <w:tcPr>
            <w:tcW w:w="720"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713F2A81">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1800</w:t>
            </w:r>
          </w:p>
        </w:tc>
        <w:tc>
          <w:tcPr>
            <w:tcW w:w="76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1FD978DB">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1620</w:t>
            </w:r>
          </w:p>
        </w:tc>
        <w:tc>
          <w:tcPr>
            <w:tcW w:w="765" w:type="dxa"/>
            <w:tcBorders>
              <w:top w:val="single" w:color="000000" w:sz="4" w:space="0"/>
              <w:left w:val="single" w:color="000000" w:sz="4" w:space="0"/>
              <w:bottom w:val="single" w:color="000000" w:sz="4" w:space="0"/>
              <w:right w:val="single" w:color="auto" w:sz="4" w:space="0"/>
            </w:tcBorders>
            <w:noWrap w:val="0"/>
            <w:tcMar>
              <w:left w:w="57" w:type="dxa"/>
              <w:right w:w="57" w:type="dxa"/>
            </w:tcMar>
            <w:vAlign w:val="center"/>
          </w:tcPr>
          <w:p w14:paraId="23396D67">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1377</w:t>
            </w:r>
          </w:p>
        </w:tc>
        <w:tc>
          <w:tcPr>
            <w:tcW w:w="720"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C91AB76">
            <w:pPr>
              <w:keepNext w:val="0"/>
              <w:keepLines w:val="0"/>
              <w:pageBreakBefore w:val="0"/>
              <w:widowControl/>
              <w:suppressLineNumbers w:val="0"/>
              <w:kinsoku/>
              <w:wordWrap/>
              <w:overflowPunct/>
              <w:topLinePunct w:val="0"/>
              <w:autoSpaceDE/>
              <w:autoSpaceDN/>
              <w:bidi w:val="0"/>
              <w:adjustRightInd/>
              <w:snapToGrid/>
              <w:spacing w:line="230" w:lineRule="exact"/>
              <w:jc w:val="center"/>
              <w:textAlignment w:val="center"/>
              <w:rPr>
                <w:rFonts w:hint="eastAsia" w:ascii="宋体" w:hAnsi="宋体" w:eastAsia="宋体" w:cs="宋体"/>
                <w:kern w:val="0"/>
                <w:sz w:val="20"/>
                <w:szCs w:val="20"/>
                <w:lang w:bidi="ar"/>
              </w:rPr>
            </w:pPr>
            <w:r>
              <w:rPr>
                <w:rFonts w:hint="eastAsia" w:ascii="宋体" w:hAnsi="宋体" w:eastAsia="宋体" w:cs="宋体"/>
                <w:i w:val="0"/>
                <w:iCs w:val="0"/>
                <w:color w:val="000000"/>
                <w:kern w:val="0"/>
                <w:sz w:val="20"/>
                <w:szCs w:val="20"/>
                <w:u w:val="none"/>
                <w:lang w:val="en-US" w:eastAsia="zh-CN" w:bidi="ar"/>
              </w:rPr>
              <w:t>1102</w:t>
            </w:r>
          </w:p>
        </w:tc>
        <w:tc>
          <w:tcPr>
            <w:tcW w:w="615"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7000202">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丙类</w:t>
            </w:r>
          </w:p>
        </w:tc>
        <w:tc>
          <w:tcPr>
            <w:tcW w:w="626" w:type="dxa"/>
            <w:tcBorders>
              <w:top w:val="single" w:color="000000" w:sz="4" w:space="0"/>
              <w:left w:val="single" w:color="auto" w:sz="4" w:space="0"/>
              <w:bottom w:val="single" w:color="000000" w:sz="4" w:space="0"/>
              <w:right w:val="single" w:color="000000" w:sz="4" w:space="0"/>
            </w:tcBorders>
            <w:noWrap w:val="0"/>
            <w:tcMar>
              <w:left w:w="57" w:type="dxa"/>
              <w:right w:w="57" w:type="dxa"/>
            </w:tcMar>
            <w:vAlign w:val="center"/>
          </w:tcPr>
          <w:p w14:paraId="489BDE4B">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w:t>
            </w:r>
          </w:p>
        </w:tc>
      </w:tr>
    </w:tbl>
    <w:p w14:paraId="69FDC1C7">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_GB2312" w:hAnsi="仿宋_GB2312" w:eastAsia="仿宋_GB2312" w:cs="仿宋_GB2312"/>
          <w:b/>
          <w:bCs/>
          <w:sz w:val="28"/>
          <w:szCs w:val="28"/>
          <w:lang w:val="en-US" w:eastAsia="zh-CN"/>
        </w:rPr>
      </w:pPr>
    </w:p>
    <w:p w14:paraId="678F1EAB">
      <w:pPr>
        <w:keepNext w:val="0"/>
        <w:keepLines w:val="0"/>
        <w:pageBreakBefore w:val="0"/>
        <w:widowControl w:val="0"/>
        <w:kinsoku/>
        <w:wordWrap/>
        <w:overflowPunct/>
        <w:topLinePunct w:val="0"/>
        <w:autoSpaceDE/>
        <w:autoSpaceDN/>
        <w:bidi w:val="0"/>
        <w:adjustRightInd/>
        <w:snapToGrid/>
        <w:spacing w:line="290" w:lineRule="exac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使用说明：</w:t>
      </w:r>
    </w:p>
    <w:p w14:paraId="4F49B6D4">
      <w:pPr>
        <w:keepNext w:val="0"/>
        <w:keepLines w:val="0"/>
        <w:pageBreakBefore w:val="0"/>
        <w:widowControl w:val="0"/>
        <w:kinsoku/>
        <w:wordWrap/>
        <w:overflowPunct/>
        <w:topLinePunct w:val="0"/>
        <w:autoSpaceDE/>
        <w:autoSpaceDN/>
        <w:bidi w:val="0"/>
        <w:adjustRightInd/>
        <w:snapToGrid/>
        <w:spacing w:line="29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1.该类项目以病理检查诊断为重点，按照活检取材、标本处理、病理染色、分子检测、病理诊断等分类设立病理相关医疗服务价格项目。</w:t>
      </w:r>
    </w:p>
    <w:p w14:paraId="483F6059">
      <w:pPr>
        <w:keepNext w:val="0"/>
        <w:keepLines w:val="0"/>
        <w:pageBreakBefore w:val="0"/>
        <w:widowControl w:val="0"/>
        <w:kinsoku/>
        <w:wordWrap/>
        <w:overflowPunct/>
        <w:topLinePunct w:val="0"/>
        <w:autoSpaceDE/>
        <w:autoSpaceDN/>
        <w:bidi w:val="0"/>
        <w:adjustRightInd/>
        <w:snapToGrid/>
        <w:spacing w:line="29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服务产出相同的一类项目在操作层面存在差异，但在价格项目和定价水平层面具备合并同类项的条件。医疗机构申报技术改良进步价格项目的，可采取“现有项目兼容”方式处理，经向省医疗保障部门报告后可按照对应的项目执行。</w:t>
      </w:r>
    </w:p>
    <w:p w14:paraId="2C7823D3">
      <w:pPr>
        <w:keepNext w:val="0"/>
        <w:keepLines w:val="0"/>
        <w:pageBreakBefore w:val="0"/>
        <w:widowControl w:val="0"/>
        <w:kinsoku/>
        <w:wordWrap/>
        <w:overflowPunct/>
        <w:topLinePunct w:val="0"/>
        <w:autoSpaceDE/>
        <w:autoSpaceDN/>
        <w:bidi w:val="0"/>
        <w:adjustRightInd/>
        <w:snapToGrid/>
        <w:spacing w:line="29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3.该类项目所称的“价格构成”，指项目价格应涵盖的各类资源消耗，用于确定计价单元的边界，是制定调整项目价格考虑的测算因子，不作为临床技术标准理解，不是实际操作方式、路径、步骤、程序的强制性要求，价格构成中包含，但个别临床实践中非必要、未发生的，无需强制要求公立医疗机构减计费用。所列“设备投入”包括但不限于操作设备、器具及固定资产投入。</w:t>
      </w:r>
    </w:p>
    <w:p w14:paraId="5D9C2014">
      <w:pPr>
        <w:keepNext w:val="0"/>
        <w:keepLines w:val="0"/>
        <w:pageBreakBefore w:val="0"/>
        <w:widowControl w:val="0"/>
        <w:kinsoku/>
        <w:wordWrap/>
        <w:overflowPunct/>
        <w:topLinePunct w:val="0"/>
        <w:autoSpaceDE/>
        <w:autoSpaceDN/>
        <w:bidi w:val="0"/>
        <w:adjustRightInd/>
        <w:snapToGrid/>
        <w:spacing w:line="29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4.该类项目所称的“加收项”，指同一项目以不同方式提供或在不同场景应用时，确有必要制定差异化收费标准而细分的一类子项，包括在原项目价格基础上增加或减少收费的情况。实际应用中，同时涉及多个加收项的，以项目单价为基础计算各项的加/减收水平后，求和得出加/减收金额。</w:t>
      </w:r>
    </w:p>
    <w:p w14:paraId="0BB15608">
      <w:pPr>
        <w:keepNext w:val="0"/>
        <w:keepLines w:val="0"/>
        <w:pageBreakBefore w:val="0"/>
        <w:widowControl w:val="0"/>
        <w:kinsoku/>
        <w:wordWrap/>
        <w:overflowPunct/>
        <w:topLinePunct w:val="0"/>
        <w:autoSpaceDE/>
        <w:autoSpaceDN/>
        <w:bidi w:val="0"/>
        <w:adjustRightInd/>
        <w:snapToGrid/>
        <w:spacing w:line="29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5.该类项目所称的“扩展项”，指同一项目下以不同方式提供或在不同场景应用时，只扩展价格项目适用范围、不额外加价的一类子项，子项的价格通常按主项目执行。</w:t>
      </w:r>
    </w:p>
    <w:p w14:paraId="7F1FB97D">
      <w:pPr>
        <w:keepNext w:val="0"/>
        <w:keepLines w:val="0"/>
        <w:pageBreakBefore w:val="0"/>
        <w:widowControl w:val="0"/>
        <w:kinsoku/>
        <w:wordWrap/>
        <w:overflowPunct/>
        <w:topLinePunct w:val="0"/>
        <w:autoSpaceDE/>
        <w:autoSpaceDN/>
        <w:bidi w:val="0"/>
        <w:adjustRightInd/>
        <w:snapToGrid/>
        <w:spacing w:line="29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6.该类项目所称的“基本物耗”，指原则上限于不应或不必要与医疗服务项目分割的易耗品，包括但不限于各类消杀灭菌用品、储存用品、清洁用品、个人防护用品、垃圾处理用品、标签、棉球、棉签、注射器、活检器具、采集管、可复用的操作器具、冲洗工具、辐射防护用具、标本包装材料、容器、玻片、培养基、包埋介质、试剂（含固定液等辅助试剂）、报告打印耗材、软件（版权、开发、购买）成本等。基本物耗成本计入项目价格，不另行收费。除基本物耗以外的其他耗材，按照实际采购价格零差率销售。</w:t>
      </w:r>
    </w:p>
    <w:p w14:paraId="10660652">
      <w:pPr>
        <w:keepNext w:val="0"/>
        <w:keepLines w:val="0"/>
        <w:pageBreakBefore w:val="0"/>
        <w:widowControl w:val="0"/>
        <w:kinsoku/>
        <w:wordWrap/>
        <w:overflowPunct/>
        <w:topLinePunct w:val="0"/>
        <w:autoSpaceDE/>
        <w:autoSpaceDN/>
        <w:bidi w:val="0"/>
        <w:adjustRightInd/>
        <w:snapToGrid/>
        <w:spacing w:line="29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7.该类项目所列“活检取材费（内镜下）”包括但不限于腹腔镜、宫腔镜、胸腔镜、纤支镜、食管镜、纵隔镜、胃镜、肠镜、胆道镜、胰管镜、肾盂镜、膀胱镜、输尿管镜、阴道镜、关节镜、耳内镜、鼻内镜、气管镜、喉镜、胎儿镜、乳腔镜等各类内镜使用操作。</w:t>
      </w:r>
    </w:p>
    <w:p w14:paraId="04494099">
      <w:pPr>
        <w:keepNext w:val="0"/>
        <w:keepLines w:val="0"/>
        <w:pageBreakBefore w:val="0"/>
        <w:widowControl w:val="0"/>
        <w:kinsoku/>
        <w:wordWrap/>
        <w:overflowPunct/>
        <w:topLinePunct w:val="0"/>
        <w:autoSpaceDE/>
        <w:autoSpaceDN/>
        <w:bidi w:val="0"/>
        <w:adjustRightInd/>
        <w:snapToGrid/>
        <w:spacing w:line="29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8.该类项目所列活检费仅适用于单独取活检样本，术中、治疗或检查过程中取活检样本已包含在各学科立项指南价格项目价格构成中，不再单独计费。</w:t>
      </w:r>
    </w:p>
    <w:p w14:paraId="4C06F4CA">
      <w:pPr>
        <w:keepNext w:val="0"/>
        <w:keepLines w:val="0"/>
        <w:pageBreakBefore w:val="0"/>
        <w:widowControl w:val="0"/>
        <w:kinsoku/>
        <w:wordWrap/>
        <w:overflowPunct/>
        <w:topLinePunct w:val="0"/>
        <w:autoSpaceDE/>
        <w:autoSpaceDN/>
        <w:bidi w:val="0"/>
        <w:adjustRightInd/>
        <w:snapToGrid/>
        <w:spacing w:line="29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9.医疗机构开展病理诊断时，应上传病理诊断报告，未上传完整病理诊断报告的，在相应项目政府指导价基础上减收5元。医疗机构开展病理样本染色检查、原位杂交、切片复制时，应提供符合要求的“病理数字化切片图像”，未提供“病理数字化切片图像”的，在相应项目政府指导价基础上减收5元；单次检查或复制多张切片的，按次减收不超过15元。</w:t>
      </w:r>
    </w:p>
    <w:p w14:paraId="79CDCD85">
      <w:pPr>
        <w:keepNext w:val="0"/>
        <w:keepLines w:val="0"/>
        <w:pageBreakBefore w:val="0"/>
        <w:widowControl w:val="0"/>
        <w:kinsoku/>
        <w:wordWrap/>
        <w:overflowPunct/>
        <w:topLinePunct w:val="0"/>
        <w:autoSpaceDE/>
        <w:autoSpaceDN/>
        <w:bidi w:val="0"/>
        <w:adjustRightInd/>
        <w:snapToGrid/>
        <w:spacing w:line="290" w:lineRule="exact"/>
        <w:ind w:firstLine="560" w:firstLineChars="200"/>
        <w:textAlignment w:val="auto"/>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10.该类项目中涉及“包括……”“……等”的，属于开放型表述，所指对象不仅局限于表述中列明的事项，也包括未列明的同类事项。</w:t>
      </w:r>
    </w:p>
    <w:p w14:paraId="51C18A44">
      <w:bookmarkStart w:id="0" w:name="_GoBack"/>
      <w:bookmarkEnd w:id="0"/>
    </w:p>
    <w:sectPr>
      <w:pgSz w:w="16838" w:h="11906" w:orient="landscape"/>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E45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71"/>
    <w:basedOn w:val="3"/>
    <w:qFormat/>
    <w:uiPriority w:val="0"/>
    <w:rPr>
      <w:rFonts w:hint="default" w:ascii="Times New Roman" w:hAnsi="Times New Roman" w:cs="Times New Roman"/>
      <w:b/>
      <w:bCs/>
      <w:color w:val="000000"/>
      <w:sz w:val="24"/>
      <w:szCs w:val="24"/>
      <w:u w:val="none"/>
    </w:rPr>
  </w:style>
  <w:style w:type="character" w:customStyle="1" w:styleId="5">
    <w:name w:val="font112"/>
    <w:basedOn w:val="3"/>
    <w:qFormat/>
    <w:uiPriority w:val="0"/>
    <w:rPr>
      <w:rFonts w:ascii="仿宋_GB2312" w:eastAsia="仿宋_GB2312" w:cs="仿宋_GB2312"/>
      <w:color w:val="000000"/>
      <w:sz w:val="24"/>
      <w:szCs w:val="24"/>
      <w:u w:val="none"/>
    </w:rPr>
  </w:style>
  <w:style w:type="character" w:customStyle="1" w:styleId="6">
    <w:name w:val="font41"/>
    <w:basedOn w:val="3"/>
    <w:qFormat/>
    <w:uiPriority w:val="0"/>
    <w:rPr>
      <w:rFonts w:hint="default" w:ascii="Times New Roman" w:hAnsi="Times New Roman" w:cs="Times New Roman"/>
      <w:color w:val="000000"/>
      <w:sz w:val="24"/>
      <w:szCs w:val="24"/>
      <w:u w:val="none"/>
    </w:rPr>
  </w:style>
  <w:style w:type="character" w:customStyle="1" w:styleId="7">
    <w:name w:val="font6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2026-08-31T07:35:45Z</dcterms:created>
  <dc:creator>Administrator</dc:creator>
  <cp:lastModifiedBy>旋子！</cp:lastModifiedBy>
  <dcterms:modified xsi:type="dcterms:W3CDTF">2026-08-31T07:35:50Z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eyJoZGlkIjoiMmIwMTI4NjAyZmE1ZGZkYzExMDNmYWFiZTMzYjdmNjciLCJ1c2VySWQiOiI0NTcwMDExODYifQ==</vt:lpwstr>
  </property>
  <property fmtid="{D5CDD505-2E9C-101B-9397-08002B2CF9AE}" pid="4" name="ICV">
    <vt:lpwstr>E6E471B3313541728896EE4AB6D872F9_12</vt:lpwstr>
  </property>
</Properties>
</file>