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C34B74">
      <w:pPr>
        <w:spacing w:line="360" w:lineRule="exact"/>
        <w:rPr>
          <w:rFonts w:ascii="方正小标宋简体" w:hAnsi="方正小标宋简体" w:eastAsia="黑体" w:cs="方正小标宋简体"/>
          <w:kern w:val="0"/>
          <w:sz w:val="32"/>
          <w:szCs w:val="32"/>
          <w:lang w:bidi="ar"/>
        </w:rPr>
      </w:pPr>
      <w:r>
        <w:rPr>
          <w:rFonts w:hint="eastAsia" w:ascii="黑体" w:hAnsi="宋体" w:eastAsia="黑体" w:cs="黑体"/>
          <w:kern w:val="0"/>
          <w:sz w:val="32"/>
          <w:szCs w:val="32"/>
          <w:lang w:bidi="ar"/>
        </w:rPr>
        <w:t>附件2-1</w:t>
      </w:r>
    </w:p>
    <w:p w14:paraId="1571A49D">
      <w:pPr>
        <w:spacing w:after="156" w:afterLines="50" w:line="600" w:lineRule="exact"/>
        <w:jc w:val="center"/>
        <w:rPr>
          <w:rFonts w:hint="eastAsia" w:ascii="方正小标宋简体" w:hAnsi="方正小标宋简体" w:eastAsia="方正小标宋简体" w:cs="方正小标宋简体"/>
          <w:kern w:val="0"/>
          <w:sz w:val="44"/>
          <w:szCs w:val="44"/>
          <w:lang w:bidi="ar"/>
        </w:rPr>
      </w:pPr>
      <w:r>
        <w:rPr>
          <w:rFonts w:hint="eastAsia" w:ascii="方正小标宋简体" w:hAnsi="方正小标宋简体" w:eastAsia="方正小标宋简体" w:cs="方正小标宋简体"/>
          <w:kern w:val="0"/>
          <w:sz w:val="44"/>
          <w:szCs w:val="44"/>
          <w:lang w:bidi="ar"/>
        </w:rPr>
        <w:t>常德市</w:t>
      </w:r>
      <w:r>
        <w:rPr>
          <w:rStyle w:val="4"/>
          <w:rFonts w:hint="eastAsia" w:ascii="方正小标宋简体" w:hAnsi="方正小标宋简体" w:eastAsia="方正小标宋简体" w:cs="方正小标宋简体"/>
          <w:color w:val="auto"/>
          <w:sz w:val="44"/>
          <w:szCs w:val="44"/>
          <w:u w:val="none"/>
          <w:shd w:val="clear" w:color="auto" w:fill="FFFFFF"/>
          <w:lang w:val="en-US" w:eastAsia="zh-CN"/>
        </w:rPr>
        <w:t>眼科</w:t>
      </w:r>
      <w:r>
        <w:rPr>
          <w:rStyle w:val="4"/>
          <w:rFonts w:hint="eastAsia" w:ascii="方正小标宋简体" w:hAnsi="方正小标宋简体" w:eastAsia="方正小标宋简体" w:cs="方正小标宋简体"/>
          <w:color w:val="auto"/>
          <w:sz w:val="44"/>
          <w:szCs w:val="44"/>
          <w:u w:val="none"/>
          <w:shd w:val="clear" w:color="auto" w:fill="FFFFFF"/>
        </w:rPr>
        <w:t>类</w:t>
      </w:r>
      <w:r>
        <w:rPr>
          <w:rStyle w:val="4"/>
          <w:rFonts w:hint="eastAsia" w:ascii="方正小标宋简体" w:hAnsi="方正小标宋简体" w:eastAsia="方正小标宋简体" w:cs="方正小标宋简体"/>
          <w:color w:val="auto"/>
          <w:sz w:val="44"/>
          <w:szCs w:val="44"/>
          <w:u w:val="none"/>
          <w:shd w:val="clear" w:color="auto" w:fill="FFFFFF"/>
          <w:lang w:val="en-US" w:eastAsia="zh-CN"/>
        </w:rPr>
        <w:t>通用型</w:t>
      </w:r>
      <w:r>
        <w:rPr>
          <w:rFonts w:hint="eastAsia" w:ascii="方正小标宋简体" w:hAnsi="方正小标宋简体" w:eastAsia="方正小标宋简体" w:cs="方正小标宋简体"/>
          <w:kern w:val="0"/>
          <w:sz w:val="44"/>
          <w:szCs w:val="44"/>
          <w:lang w:bidi="ar"/>
        </w:rPr>
        <w:t>医疗服务项目价格表</w:t>
      </w:r>
    </w:p>
    <w:tbl>
      <w:tblPr>
        <w:tblStyle w:val="2"/>
        <w:tblW w:w="15080"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507"/>
        <w:gridCol w:w="1685"/>
        <w:gridCol w:w="1666"/>
        <w:gridCol w:w="1575"/>
        <w:gridCol w:w="1590"/>
        <w:gridCol w:w="765"/>
        <w:gridCol w:w="945"/>
        <w:gridCol w:w="720"/>
        <w:gridCol w:w="1562"/>
        <w:gridCol w:w="720"/>
        <w:gridCol w:w="765"/>
        <w:gridCol w:w="733"/>
        <w:gridCol w:w="737"/>
        <w:gridCol w:w="555"/>
        <w:gridCol w:w="555"/>
      </w:tblGrid>
      <w:tr w14:paraId="30C3158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8905A5">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序号</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07DD38">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项目编码</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84426F">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项目名称</w:t>
            </w:r>
          </w:p>
        </w:tc>
        <w:tc>
          <w:tcPr>
            <w:tcW w:w="15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0BF7CF">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服务产出</w:t>
            </w:r>
          </w:p>
        </w:tc>
        <w:tc>
          <w:tcPr>
            <w:tcW w:w="159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A8DEF9">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价格构成</w:t>
            </w:r>
          </w:p>
        </w:tc>
        <w:tc>
          <w:tcPr>
            <w:tcW w:w="76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A85988">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加收项</w:t>
            </w:r>
          </w:p>
        </w:tc>
        <w:tc>
          <w:tcPr>
            <w:tcW w:w="9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23AA0D">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扩展项</w:t>
            </w:r>
          </w:p>
        </w:tc>
        <w:tc>
          <w:tcPr>
            <w:tcW w:w="7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F153E6">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计价单位</w:t>
            </w:r>
          </w:p>
        </w:tc>
        <w:tc>
          <w:tcPr>
            <w:tcW w:w="15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5B8BE7">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65134AB9">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9C506B2">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FEB6C5">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市二类价格（元）</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4D01B7">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市三类价格（元）</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E44BE3">
            <w:pPr>
              <w:widowControl/>
              <w:spacing w:line="240" w:lineRule="exact"/>
              <w:jc w:val="center"/>
              <w:textAlignment w:val="center"/>
              <w:rPr>
                <w:rStyle w:val="5"/>
                <w:rFonts w:ascii="宋体" w:hAnsi="宋体"/>
                <w:color w:val="auto"/>
                <w:sz w:val="20"/>
                <w:szCs w:val="20"/>
              </w:rPr>
            </w:pPr>
            <w:r>
              <w:rPr>
                <w:rFonts w:hint="eastAsia" w:ascii="宋体" w:hAnsi="宋体" w:cs="宋体"/>
                <w:b/>
                <w:bCs/>
                <w:kern w:val="0"/>
                <w:sz w:val="20"/>
                <w:szCs w:val="20"/>
              </w:rPr>
              <w:t>市基层价格（元）</w:t>
            </w:r>
          </w:p>
        </w:tc>
        <w:tc>
          <w:tcPr>
            <w:tcW w:w="55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0C93DD">
            <w:pPr>
              <w:widowControl/>
              <w:jc w:val="center"/>
              <w:textAlignment w:val="center"/>
              <w:rPr>
                <w:rFonts w:hint="eastAsia" w:ascii="宋体" w:hAnsi="宋体" w:cs="宋体"/>
                <w:b/>
                <w:bCs/>
                <w:kern w:val="0"/>
                <w:sz w:val="20"/>
                <w:szCs w:val="20"/>
              </w:rPr>
            </w:pPr>
            <w:r>
              <w:rPr>
                <w:rFonts w:hint="eastAsia" w:ascii="宋体" w:hAnsi="宋体" w:cs="宋体"/>
                <w:b/>
                <w:bCs/>
                <w:kern w:val="0"/>
                <w:sz w:val="20"/>
                <w:szCs w:val="20"/>
                <w:lang w:bidi="ar"/>
              </w:rPr>
              <w:t>支付分类</w:t>
            </w:r>
          </w:p>
        </w:tc>
        <w:tc>
          <w:tcPr>
            <w:tcW w:w="55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68822C">
            <w:pPr>
              <w:widowControl/>
              <w:jc w:val="center"/>
              <w:textAlignment w:val="center"/>
              <w:rPr>
                <w:rFonts w:hint="eastAsia" w:ascii="宋体" w:hAnsi="宋体" w:cs="宋体"/>
                <w:b/>
                <w:bCs/>
                <w:kern w:val="0"/>
                <w:sz w:val="20"/>
                <w:szCs w:val="20"/>
              </w:rPr>
            </w:pPr>
            <w:r>
              <w:rPr>
                <w:rFonts w:hint="eastAsia" w:ascii="宋体" w:hAnsi="宋体" w:cs="宋体"/>
                <w:b/>
                <w:bCs/>
                <w:kern w:val="0"/>
                <w:sz w:val="20"/>
                <w:szCs w:val="20"/>
                <w:lang w:bidi="ar"/>
              </w:rPr>
              <w:t>自付比例</w:t>
            </w:r>
          </w:p>
        </w:tc>
      </w:tr>
      <w:tr w14:paraId="23A1D30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0"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6B89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A0D6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012403000010000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F632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视力检查费（普通）</w:t>
            </w:r>
          </w:p>
        </w:tc>
        <w:tc>
          <w:tcPr>
            <w:tcW w:w="15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9AA8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通过远视力、近视力、光机能（包括光感及光定位）、伪盲检查等多种方式对视力进行检查。</w:t>
            </w:r>
          </w:p>
        </w:tc>
        <w:tc>
          <w:tcPr>
            <w:tcW w:w="159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6E06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所定价格涵盖眼部遮盖、检查、记录、出具结果报告等步骤所需的人力资源和基本物质资源消耗。</w:t>
            </w:r>
          </w:p>
        </w:tc>
        <w:tc>
          <w:tcPr>
            <w:tcW w:w="76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227FB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kern w:val="0"/>
                <w:sz w:val="20"/>
                <w:szCs w:val="20"/>
                <w:lang w:bidi="ar"/>
              </w:rPr>
            </w:pPr>
          </w:p>
        </w:tc>
        <w:tc>
          <w:tcPr>
            <w:tcW w:w="9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D137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kern w:val="0"/>
                <w:sz w:val="20"/>
                <w:szCs w:val="20"/>
                <w:lang w:bidi="ar"/>
              </w:rPr>
            </w:pPr>
          </w:p>
        </w:tc>
        <w:tc>
          <w:tcPr>
            <w:tcW w:w="7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FB7D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次</w:t>
            </w:r>
          </w:p>
        </w:tc>
        <w:tc>
          <w:tcPr>
            <w:tcW w:w="15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ABAED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kern w:val="0"/>
                <w:sz w:val="20"/>
                <w:szCs w:val="20"/>
                <w:lang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6866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B99F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2</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81381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2</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2C6D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2</w:t>
            </w:r>
          </w:p>
        </w:tc>
        <w:tc>
          <w:tcPr>
            <w:tcW w:w="555" w:type="dxa"/>
            <w:tcBorders>
              <w:top w:val="single" w:color="000000" w:sz="4" w:space="0"/>
              <w:left w:val="single" w:color="auto" w:sz="4" w:space="0"/>
              <w:bottom w:val="single" w:color="auto" w:sz="4" w:space="0"/>
              <w:right w:val="single" w:color="000000" w:sz="4" w:space="0"/>
            </w:tcBorders>
            <w:noWrap w:val="0"/>
            <w:tcMar>
              <w:left w:w="57" w:type="dxa"/>
              <w:right w:w="57" w:type="dxa"/>
            </w:tcMar>
            <w:vAlign w:val="center"/>
          </w:tcPr>
          <w:p w14:paraId="32D3A7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000000" w:sz="4" w:space="0"/>
              <w:left w:val="single" w:color="auto" w:sz="4" w:space="0"/>
              <w:bottom w:val="single" w:color="auto" w:sz="4" w:space="0"/>
              <w:right w:val="single" w:color="000000" w:sz="4" w:space="0"/>
            </w:tcBorders>
            <w:noWrap w:val="0"/>
            <w:tcMar>
              <w:left w:w="57" w:type="dxa"/>
              <w:right w:w="57" w:type="dxa"/>
            </w:tcMar>
            <w:vAlign w:val="center"/>
          </w:tcPr>
          <w:p w14:paraId="1B1B9F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5D3F86C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0"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8EB1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7F31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012403000020000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4399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视力检查费（特殊）</w:t>
            </w:r>
          </w:p>
        </w:tc>
        <w:tc>
          <w:tcPr>
            <w:tcW w:w="15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5AC7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通过各种特殊方式对视力进行检查。</w:t>
            </w:r>
          </w:p>
        </w:tc>
        <w:tc>
          <w:tcPr>
            <w:tcW w:w="159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BF40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所定价格涵盖设备准备、检查、记录、出具结果报告等步骤所需的人力资源和基本物质资源消耗。</w:t>
            </w:r>
          </w:p>
        </w:tc>
        <w:tc>
          <w:tcPr>
            <w:tcW w:w="76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2C4B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9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4DC6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A264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1111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1.“特殊方式”是指应用图形视力表、点视力表、条栅视力卡、视动性眼球震颤设备的方式进行视力检查。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2.阿姆斯勒(Amsler)表检查按此项目收费。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01B2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8176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D782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111B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w:t>
            </w:r>
          </w:p>
        </w:tc>
        <w:tc>
          <w:tcPr>
            <w:tcW w:w="555" w:type="dxa"/>
            <w:tcBorders>
              <w:top w:val="single" w:color="000000" w:sz="4" w:space="0"/>
              <w:left w:val="single" w:color="auto" w:sz="4" w:space="0"/>
              <w:bottom w:val="single" w:color="auto" w:sz="4" w:space="0"/>
              <w:right w:val="single" w:color="000000" w:sz="4" w:space="0"/>
            </w:tcBorders>
            <w:noWrap w:val="0"/>
            <w:tcMar>
              <w:left w:w="57" w:type="dxa"/>
              <w:right w:w="57" w:type="dxa"/>
            </w:tcMar>
            <w:vAlign w:val="center"/>
          </w:tcPr>
          <w:p w14:paraId="3A6C2A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000000" w:sz="4" w:space="0"/>
              <w:left w:val="single" w:color="auto" w:sz="4" w:space="0"/>
              <w:bottom w:val="single" w:color="auto" w:sz="4" w:space="0"/>
              <w:right w:val="single" w:color="000000" w:sz="4" w:space="0"/>
            </w:tcBorders>
            <w:noWrap w:val="0"/>
            <w:tcMar>
              <w:left w:w="57" w:type="dxa"/>
              <w:right w:w="57" w:type="dxa"/>
            </w:tcMar>
            <w:vAlign w:val="center"/>
          </w:tcPr>
          <w:p w14:paraId="505F75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4040D33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3"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1DFF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5DC6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012403000030000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F8B9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散瞳验光费</w:t>
            </w:r>
          </w:p>
        </w:tc>
        <w:tc>
          <w:tcPr>
            <w:tcW w:w="15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7846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通过散瞳、电脑、检影等不同方式测量眼睛的屈光状态。</w:t>
            </w:r>
          </w:p>
        </w:tc>
        <w:tc>
          <w:tcPr>
            <w:tcW w:w="159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8485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所定价格涵盖散瞳、电脑及人工测视力、测瞳距、确定屈光度数、记录、出具结果报告等步骤所需的人力资源和基本物质资源消耗。</w:t>
            </w:r>
          </w:p>
        </w:tc>
        <w:tc>
          <w:tcPr>
            <w:tcW w:w="76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1945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94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728F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73E3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次</w:t>
            </w:r>
          </w:p>
        </w:tc>
        <w:tc>
          <w:tcPr>
            <w:tcW w:w="1562"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4171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D7B3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仿宋" w:hAnsi="仿宋" w:eastAsia="仿宋" w:cs="仿宋"/>
                <w:kern w:val="0"/>
                <w:sz w:val="20"/>
                <w:szCs w:val="20"/>
                <w:lang w:bidi="ar"/>
              </w:rPr>
            </w:pPr>
            <w:r>
              <w:rPr>
                <w:rFonts w:hint="eastAsia" w:ascii="宋体" w:hAnsi="宋体" w:eastAsia="宋体" w:cs="宋体"/>
                <w:i w:val="0"/>
                <w:iCs w:val="0"/>
                <w:color w:val="000000"/>
                <w:kern w:val="0"/>
                <w:sz w:val="20"/>
                <w:szCs w:val="20"/>
                <w:u w:val="none"/>
                <w:lang w:val="en-US" w:eastAsia="zh-CN" w:bidi="ar"/>
              </w:rPr>
              <w:t>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E0FB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仿宋" w:hAnsi="仿宋" w:eastAsia="仿宋" w:cs="仿宋"/>
                <w:kern w:val="0"/>
                <w:sz w:val="20"/>
                <w:szCs w:val="20"/>
                <w:lang w:bidi="ar"/>
              </w:rPr>
            </w:pPr>
            <w:r>
              <w:rPr>
                <w:rFonts w:hint="eastAsia" w:ascii="宋体" w:hAnsi="宋体" w:eastAsia="宋体" w:cs="宋体"/>
                <w:i w:val="0"/>
                <w:iCs w:val="0"/>
                <w:color w:val="000000"/>
                <w:kern w:val="0"/>
                <w:sz w:val="20"/>
                <w:szCs w:val="20"/>
                <w:u w:val="none"/>
                <w:lang w:val="en-US" w:eastAsia="zh-CN" w:bidi="ar"/>
              </w:rPr>
              <w:t>8</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1D83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仿宋" w:hAnsi="仿宋" w:eastAsia="仿宋" w:cs="仿宋"/>
                <w:kern w:val="0"/>
                <w:sz w:val="20"/>
                <w:szCs w:val="20"/>
                <w:lang w:bidi="ar"/>
              </w:rPr>
            </w:pPr>
            <w:r>
              <w:rPr>
                <w:rFonts w:hint="eastAsia" w:ascii="宋体" w:hAnsi="宋体" w:eastAsia="宋体" w:cs="宋体"/>
                <w:i w:val="0"/>
                <w:iCs w:val="0"/>
                <w:color w:val="000000"/>
                <w:kern w:val="0"/>
                <w:sz w:val="20"/>
                <w:szCs w:val="20"/>
                <w:u w:val="none"/>
                <w:lang w:val="en-US" w:eastAsia="zh-CN" w:bidi="ar"/>
              </w:rPr>
              <w:t>8</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380E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仿宋" w:hAnsi="仿宋" w:eastAsia="仿宋" w:cs="仿宋"/>
                <w:kern w:val="0"/>
                <w:sz w:val="20"/>
                <w:szCs w:val="20"/>
                <w:lang w:bidi="ar"/>
              </w:rPr>
            </w:pPr>
            <w:r>
              <w:rPr>
                <w:rFonts w:hint="eastAsia" w:ascii="宋体" w:hAnsi="宋体" w:eastAsia="宋体" w:cs="宋体"/>
                <w:i w:val="0"/>
                <w:iCs w:val="0"/>
                <w:color w:val="000000"/>
                <w:kern w:val="0"/>
                <w:sz w:val="20"/>
                <w:szCs w:val="20"/>
                <w:u w:val="none"/>
                <w:lang w:val="en-US" w:eastAsia="zh-CN" w:bidi="ar"/>
              </w:rPr>
              <w:t>8</w:t>
            </w:r>
          </w:p>
        </w:tc>
        <w:tc>
          <w:tcPr>
            <w:tcW w:w="555"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B568C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丙类</w:t>
            </w:r>
          </w:p>
        </w:tc>
        <w:tc>
          <w:tcPr>
            <w:tcW w:w="555"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1CB65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r>
      <w:tr w14:paraId="581718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228"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910B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A0B5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012403000030001</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4884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散瞳验光费-儿童（加收）</w:t>
            </w:r>
          </w:p>
        </w:tc>
        <w:tc>
          <w:tcPr>
            <w:tcW w:w="15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9FBE0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7F702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52EEF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94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8EC7F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86421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562"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B3C40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9D886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6061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E029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C66D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555" w:type="dxa"/>
            <w:vMerge w:val="continue"/>
            <w:tcBorders>
              <w:top w:val="single" w:color="auto" w:sz="4" w:space="0"/>
              <w:left w:val="single" w:color="auto" w:sz="4" w:space="0"/>
              <w:bottom w:val="single" w:color="000000" w:sz="4" w:space="0"/>
              <w:right w:val="single" w:color="000000" w:sz="4" w:space="0"/>
            </w:tcBorders>
            <w:noWrap w:val="0"/>
            <w:tcMar>
              <w:left w:w="57" w:type="dxa"/>
              <w:right w:w="57" w:type="dxa"/>
            </w:tcMar>
            <w:vAlign w:val="center"/>
          </w:tcPr>
          <w:p w14:paraId="4AFDCE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555" w:type="dxa"/>
            <w:vMerge w:val="continue"/>
            <w:tcBorders>
              <w:top w:val="single" w:color="auto" w:sz="4" w:space="0"/>
              <w:left w:val="single" w:color="auto" w:sz="4" w:space="0"/>
              <w:bottom w:val="single" w:color="000000" w:sz="4" w:space="0"/>
              <w:right w:val="single" w:color="000000" w:sz="4" w:space="0"/>
            </w:tcBorders>
            <w:noWrap w:val="0"/>
            <w:tcMar>
              <w:left w:w="57" w:type="dxa"/>
              <w:right w:w="57" w:type="dxa"/>
            </w:tcMar>
            <w:vAlign w:val="center"/>
          </w:tcPr>
          <w:p w14:paraId="2A2E9B4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r>
      <w:tr w14:paraId="07249A9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21"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5D1A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C23E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012403000040000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5D03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显然验光费</w:t>
            </w:r>
          </w:p>
        </w:tc>
        <w:tc>
          <w:tcPr>
            <w:tcW w:w="15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157B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通过反复插试镜片，确定矫正视力度数。</w:t>
            </w:r>
          </w:p>
        </w:tc>
        <w:tc>
          <w:tcPr>
            <w:tcW w:w="159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FBE85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所定价格涵盖戴试镜架、插试镜片、调整度数、记录、出具结果报告等步骤所需的人力资源和基本物质资源消耗。</w:t>
            </w:r>
          </w:p>
        </w:tc>
        <w:tc>
          <w:tcPr>
            <w:tcW w:w="76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BEA6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94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F8913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EF70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62"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1D10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含复验。</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D674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3331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D877F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67FD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w:t>
            </w:r>
          </w:p>
        </w:tc>
        <w:tc>
          <w:tcPr>
            <w:tcW w:w="555" w:type="dxa"/>
            <w:vMerge w:val="restart"/>
            <w:tcBorders>
              <w:top w:val="single" w:color="000000" w:sz="4" w:space="0"/>
              <w:left w:val="single" w:color="auto" w:sz="4" w:space="0"/>
              <w:bottom w:val="single" w:color="auto" w:sz="4" w:space="0"/>
              <w:right w:val="single" w:color="000000" w:sz="4" w:space="0"/>
            </w:tcBorders>
            <w:noWrap w:val="0"/>
            <w:tcMar>
              <w:left w:w="57" w:type="dxa"/>
              <w:right w:w="57" w:type="dxa"/>
            </w:tcMar>
            <w:vAlign w:val="center"/>
          </w:tcPr>
          <w:p w14:paraId="0AB192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555" w:type="dxa"/>
            <w:vMerge w:val="restart"/>
            <w:tcBorders>
              <w:top w:val="single" w:color="000000" w:sz="4" w:space="0"/>
              <w:left w:val="single" w:color="auto" w:sz="4" w:space="0"/>
              <w:bottom w:val="single" w:color="auto" w:sz="4" w:space="0"/>
              <w:right w:val="single" w:color="000000" w:sz="4" w:space="0"/>
            </w:tcBorders>
            <w:noWrap w:val="0"/>
            <w:tcMar>
              <w:left w:w="57" w:type="dxa"/>
              <w:right w:w="57" w:type="dxa"/>
            </w:tcMar>
            <w:vAlign w:val="center"/>
          </w:tcPr>
          <w:p w14:paraId="4238F6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441E7C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54"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70B6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67FB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012403000040001</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2589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显然验光费-儿童（加收）</w:t>
            </w:r>
          </w:p>
        </w:tc>
        <w:tc>
          <w:tcPr>
            <w:tcW w:w="15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DA955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5D015B">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F23B7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94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C3939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50629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562"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DE48E6">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00ACD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85D7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59D9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C9DB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555"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297D150">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Cs w:val="21"/>
              </w:rPr>
            </w:pPr>
          </w:p>
        </w:tc>
        <w:tc>
          <w:tcPr>
            <w:tcW w:w="555"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13A5575">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Cs w:val="21"/>
              </w:rPr>
            </w:pPr>
          </w:p>
        </w:tc>
      </w:tr>
      <w:tr w14:paraId="43B5817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00"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C8FA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F21E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012403000050000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B3C1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眼压检查费</w:t>
            </w:r>
          </w:p>
        </w:tc>
        <w:tc>
          <w:tcPr>
            <w:tcW w:w="15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30C3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通过接触或非接触方式进行眼压测量。</w:t>
            </w:r>
          </w:p>
        </w:tc>
        <w:tc>
          <w:tcPr>
            <w:tcW w:w="159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751D6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所定价格涵盖检查、测量、记录、出具结果报告等步骤所需的人力资源和基本物质资源消耗。</w:t>
            </w:r>
          </w:p>
        </w:tc>
        <w:tc>
          <w:tcPr>
            <w:tcW w:w="76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1E944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9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73F66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5BE2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5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2161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highlight w:val="none"/>
                <w:u w:val="none"/>
                <w:lang w:val="en-US" w:eastAsia="zh-CN" w:bidi="ar"/>
              </w:rPr>
              <w:t>眼压日曲线描记按照眼压检查实际开展次数收费,</w:t>
            </w:r>
            <w:r>
              <w:rPr>
                <w:rFonts w:hint="eastAsia" w:ascii="宋体" w:hAnsi="宋体" w:eastAsia="宋体" w:cs="宋体"/>
                <w:i w:val="0"/>
                <w:iCs w:val="0"/>
                <w:color w:val="000000"/>
                <w:kern w:val="0"/>
                <w:sz w:val="20"/>
                <w:szCs w:val="20"/>
                <w:highlight w:val="none"/>
                <w:u w:val="single"/>
                <w:lang w:val="en-US" w:eastAsia="zh-CN" w:bidi="ar"/>
              </w:rPr>
              <w:t>每日</w:t>
            </w:r>
            <w:r>
              <w:rPr>
                <w:rFonts w:hint="eastAsia" w:ascii="宋体" w:hAnsi="宋体" w:eastAsia="宋体" w:cs="宋体"/>
                <w:i w:val="0"/>
                <w:iCs w:val="0"/>
                <w:color w:val="000000"/>
                <w:kern w:val="0"/>
                <w:sz w:val="20"/>
                <w:szCs w:val="20"/>
                <w:highlight w:val="none"/>
                <w:u w:val="none"/>
                <w:lang w:val="en-US" w:eastAsia="zh-CN" w:bidi="ar"/>
              </w:rPr>
              <w:t>单侧</w:t>
            </w:r>
            <w:r>
              <w:rPr>
                <w:rFonts w:hint="eastAsia" w:ascii="宋体" w:hAnsi="宋体" w:eastAsia="宋体" w:cs="宋体"/>
                <w:i w:val="0"/>
                <w:iCs w:val="0"/>
                <w:color w:val="000000"/>
                <w:kern w:val="0"/>
                <w:sz w:val="20"/>
                <w:szCs w:val="20"/>
                <w:highlight w:val="none"/>
                <w:u w:val="single"/>
                <w:lang w:val="en-US" w:eastAsia="zh-CN" w:bidi="ar"/>
              </w:rPr>
              <w:t>费用封顶</w:t>
            </w:r>
            <w:r>
              <w:rPr>
                <w:rFonts w:hint="eastAsia" w:ascii="宋体" w:hAnsi="宋体" w:eastAsia="宋体" w:cs="宋体"/>
                <w:i w:val="0"/>
                <w:iCs w:val="0"/>
                <w:color w:val="000000"/>
                <w:kern w:val="0"/>
                <w:sz w:val="20"/>
                <w:szCs w:val="20"/>
                <w:highlight w:val="none"/>
                <w:u w:val="none"/>
                <w:lang w:val="en-US" w:eastAsia="zh-CN" w:bidi="ar"/>
              </w:rPr>
              <w:t>价格</w:t>
            </w:r>
            <w:r>
              <w:rPr>
                <w:rFonts w:hint="eastAsia" w:ascii="宋体" w:hAnsi="宋体" w:eastAsia="宋体" w:cs="宋体"/>
                <w:i w:val="0"/>
                <w:iCs w:val="0"/>
                <w:color w:val="000000"/>
                <w:kern w:val="0"/>
                <w:sz w:val="20"/>
                <w:szCs w:val="20"/>
                <w:highlight w:val="none"/>
                <w:u w:val="single"/>
                <w:lang w:val="en-US" w:eastAsia="zh-CN" w:bidi="ar"/>
              </w:rPr>
              <w:t>40元。</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F9EE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CED7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F8CE9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12E0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5D1CF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Cs w:val="21"/>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CEC49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Cs w:val="21"/>
              </w:rPr>
            </w:pPr>
            <w:r>
              <w:rPr>
                <w:rFonts w:hint="eastAsia" w:ascii="宋体" w:hAnsi="宋体" w:eastAsia="宋体" w:cs="宋体"/>
                <w:i w:val="0"/>
                <w:iCs w:val="0"/>
                <w:color w:val="000000"/>
                <w:kern w:val="0"/>
                <w:sz w:val="20"/>
                <w:szCs w:val="20"/>
                <w:u w:val="none"/>
                <w:lang w:val="en-US" w:eastAsia="zh-CN" w:bidi="ar"/>
              </w:rPr>
              <w:t>0%</w:t>
            </w:r>
          </w:p>
        </w:tc>
      </w:tr>
      <w:tr w14:paraId="0426267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0"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54BA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CABD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012403000060000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AE7A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眼压检查费（青光眼激发）</w:t>
            </w:r>
          </w:p>
        </w:tc>
        <w:tc>
          <w:tcPr>
            <w:tcW w:w="15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03E3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指通过各种方式激发眼压升高后进行眼压测量。</w:t>
            </w:r>
          </w:p>
        </w:tc>
        <w:tc>
          <w:tcPr>
            <w:tcW w:w="159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501F3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所定价格涵盖试验准备、眼压测量、诱导、再次测量、记录、出具结果报告等步骤所需的人力资源和基本物质资源消耗。</w:t>
            </w:r>
          </w:p>
        </w:tc>
        <w:tc>
          <w:tcPr>
            <w:tcW w:w="76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05F6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01饮水试验加收30%</w:t>
            </w:r>
          </w:p>
        </w:tc>
        <w:tc>
          <w:tcPr>
            <w:tcW w:w="94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BE28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743F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62"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D192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不得与眼压检查费同时收取。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C1B2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5F65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298D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2786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FDCCA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F05A1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2CE4F3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50"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8340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AC70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012403000060001</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48CA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眼压检查费（青光眼激发）-饮水试验（加收）</w:t>
            </w:r>
          </w:p>
        </w:tc>
        <w:tc>
          <w:tcPr>
            <w:tcW w:w="15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3900E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6B7147">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EA667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94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B5DA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CE38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562"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D0CA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FA0E2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837B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F0DEF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5F10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744CD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8CDE0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0%</w:t>
            </w:r>
          </w:p>
        </w:tc>
      </w:tr>
      <w:tr w14:paraId="66573EA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7"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47FE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10</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8937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012403000070000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29F8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色觉检查费</w:t>
            </w:r>
          </w:p>
        </w:tc>
        <w:tc>
          <w:tcPr>
            <w:tcW w:w="15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32E5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通过不同方式检查色弱、色盲情况。</w:t>
            </w:r>
          </w:p>
        </w:tc>
        <w:tc>
          <w:tcPr>
            <w:tcW w:w="159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EA2D7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所定价格涵盖检查、记录、出具结果报告等步骤所需的人力资源和基本物质资源消耗。</w:t>
            </w:r>
          </w:p>
        </w:tc>
        <w:tc>
          <w:tcPr>
            <w:tcW w:w="76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81523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9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FFD50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6F99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3797B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F880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4233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A7FE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846F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61047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0E5B3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0%</w:t>
            </w:r>
          </w:p>
        </w:tc>
      </w:tr>
      <w:tr w14:paraId="5DAA84C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7"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D1D4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68C5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012403000080000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CAE3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视野检查费</w:t>
            </w:r>
          </w:p>
        </w:tc>
        <w:tc>
          <w:tcPr>
            <w:tcW w:w="15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6BF2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通过各种方式对视野进行评估。</w:t>
            </w:r>
          </w:p>
        </w:tc>
        <w:tc>
          <w:tcPr>
            <w:tcW w:w="159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67D51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所定价格涵盖应用视野检查设备、记录、出具结果报告等步骤所需的人力资源和基本物质资源消耗。</w:t>
            </w:r>
          </w:p>
        </w:tc>
        <w:tc>
          <w:tcPr>
            <w:tcW w:w="76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03222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9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46EC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4351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单侧</w:t>
            </w:r>
          </w:p>
        </w:tc>
        <w:tc>
          <w:tcPr>
            <w:tcW w:w="15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C5C7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普通视野计检查按5元计费。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5730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5D6D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1B7A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871E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3703A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7D265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64CB6A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640"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BE38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79BF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012403000090000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6DC0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泪液分泌功能测定费</w:t>
            </w:r>
          </w:p>
        </w:tc>
        <w:tc>
          <w:tcPr>
            <w:tcW w:w="15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F01B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通过各种方式对泪液分泌功能进行测定。</w:t>
            </w:r>
          </w:p>
        </w:tc>
        <w:tc>
          <w:tcPr>
            <w:tcW w:w="159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874F7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所定价格涵盖放置纸条、测定滤纸浸湿长度、记录并分析结果等步骤所需的人力资源和基本物质资源消耗。</w:t>
            </w:r>
          </w:p>
        </w:tc>
        <w:tc>
          <w:tcPr>
            <w:tcW w:w="76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A934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9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4ABBE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0A55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单侧</w:t>
            </w:r>
          </w:p>
        </w:tc>
        <w:tc>
          <w:tcPr>
            <w:tcW w:w="15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6F5F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1208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8F46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0231E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CAD5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FDFC9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092EF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585CD7A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05"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6B84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FDB0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012403000100000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117D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泪膜分析测定费</w:t>
            </w:r>
          </w:p>
        </w:tc>
        <w:tc>
          <w:tcPr>
            <w:tcW w:w="15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572A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通过各种方式对泪膜进行分析测定。</w:t>
            </w:r>
          </w:p>
        </w:tc>
        <w:tc>
          <w:tcPr>
            <w:tcW w:w="159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CBED9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所定价格涵盖设备准备、检查、记录、分析、出具结果报告等步骤所需的人力资源和基本物质资源消耗。</w:t>
            </w:r>
          </w:p>
        </w:tc>
        <w:tc>
          <w:tcPr>
            <w:tcW w:w="76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85683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9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F125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571F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5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218C3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BC5A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E48D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3562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D25E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9215A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4D77D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0%</w:t>
            </w:r>
          </w:p>
        </w:tc>
      </w:tr>
      <w:tr w14:paraId="16A4971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61"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40BA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3FAB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012403000120000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B81E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斜视度测定费</w:t>
            </w:r>
          </w:p>
        </w:tc>
        <w:tc>
          <w:tcPr>
            <w:tcW w:w="15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A1D5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通过各种方式测定斜视度数。</w:t>
            </w:r>
          </w:p>
        </w:tc>
        <w:tc>
          <w:tcPr>
            <w:tcW w:w="159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4AAFB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所定价格涵盖设备准备、检查、记录、分析、出具结果报告等步骤所需的人力资源和基本物质资源消耗。</w:t>
            </w:r>
          </w:p>
        </w:tc>
        <w:tc>
          <w:tcPr>
            <w:tcW w:w="76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1B06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94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5B5D20">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0B27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62"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3710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每日计费不超过3次。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DC89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C48A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AD33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C96A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8CDED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7E93F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0%</w:t>
            </w:r>
          </w:p>
        </w:tc>
      </w:tr>
      <w:tr w14:paraId="6C3D6A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3491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57C8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012403000120001</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D71B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斜视度测定费-儿童（加收）</w:t>
            </w:r>
          </w:p>
        </w:tc>
        <w:tc>
          <w:tcPr>
            <w:tcW w:w="15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518EB1">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918BD3">
            <w:pPr>
              <w:keepNext w:val="0"/>
              <w:keepLines w:val="0"/>
              <w:pageBreakBefore w:val="0"/>
              <w:widowControl/>
              <w:kinsoku/>
              <w:wordWrap/>
              <w:overflowPunct/>
              <w:topLinePunct w:val="0"/>
              <w:autoSpaceDE/>
              <w:autoSpaceDN/>
              <w:bidi w:val="0"/>
              <w:adjustRightInd/>
              <w:snapToGrid/>
              <w:spacing w:line="220" w:lineRule="exact"/>
              <w:jc w:val="center"/>
              <w:rPr>
                <w:rFonts w:ascii="宋体" w:hAnsi="宋体" w:cs="宋体"/>
                <w:b/>
                <w:bCs/>
                <w:kern w:val="0"/>
                <w:sz w:val="20"/>
                <w:szCs w:val="20"/>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86683C">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94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D64544">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F185F3">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1562"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6C1504">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8F36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E115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91FE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69B9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61C5A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70DFE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0%</w:t>
            </w:r>
          </w:p>
        </w:tc>
      </w:tr>
      <w:tr w14:paraId="4EB844A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0"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7CCD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7862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012403000130000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E59E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角膜地形图检查费</w:t>
            </w:r>
          </w:p>
        </w:tc>
        <w:tc>
          <w:tcPr>
            <w:tcW w:w="15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3272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通过各种方式或设备检测角膜形态。</w:t>
            </w:r>
          </w:p>
        </w:tc>
        <w:tc>
          <w:tcPr>
            <w:tcW w:w="159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B1874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所定价格涵盖设备准备、扫描、记录、分析、出具结果报告等步骤所需的人力资源和基本物质资源消耗。</w:t>
            </w:r>
          </w:p>
        </w:tc>
        <w:tc>
          <w:tcPr>
            <w:tcW w:w="76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C5A209">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9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816794">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A320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5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788A66">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71F0C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2EB1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05CD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BB8B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9C1F6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134F3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0%</w:t>
            </w:r>
          </w:p>
        </w:tc>
      </w:tr>
      <w:tr w14:paraId="6D9ECC0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89"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550C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19</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FA82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012403000140000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F531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角膜曲率测量费</w:t>
            </w:r>
          </w:p>
        </w:tc>
        <w:tc>
          <w:tcPr>
            <w:tcW w:w="15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C457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通过各种方式或设备测量角膜曲率。</w:t>
            </w:r>
          </w:p>
        </w:tc>
        <w:tc>
          <w:tcPr>
            <w:tcW w:w="159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216B4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所定价格涵盖设备准备、测量、记录、分析、出具结果报告等步骤所需的人力资源和基本物质资源消耗。</w:t>
            </w:r>
          </w:p>
        </w:tc>
        <w:tc>
          <w:tcPr>
            <w:tcW w:w="76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181BC9">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9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7DEFA7">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10FC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单侧</w:t>
            </w:r>
          </w:p>
        </w:tc>
        <w:tc>
          <w:tcPr>
            <w:tcW w:w="15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B337B5">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8A00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53DF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73D7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3EF3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C33A1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5E79E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0%</w:t>
            </w:r>
          </w:p>
        </w:tc>
      </w:tr>
      <w:tr w14:paraId="761A9D1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90"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E04E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6C46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012403000170000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E354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牵拉试验费</w:t>
            </w:r>
          </w:p>
        </w:tc>
        <w:tc>
          <w:tcPr>
            <w:tcW w:w="15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8F45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通过牵拉角膜缘外结膜，判断眼球运动、主动肌收缩力量和复视情况。</w:t>
            </w:r>
          </w:p>
        </w:tc>
        <w:tc>
          <w:tcPr>
            <w:tcW w:w="159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C008B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所定价格涵盖牵拉、观察分析、记录、分析、出具结果报告等步骤所需的人力资源和基本物质资源消耗。</w:t>
            </w:r>
          </w:p>
        </w:tc>
        <w:tc>
          <w:tcPr>
            <w:tcW w:w="76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73A4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94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47B7C7">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val="0"/>
                <w:bCs w:val="0"/>
                <w:kern w:val="0"/>
                <w:sz w:val="20"/>
                <w:szCs w:val="20"/>
              </w:rPr>
            </w:pPr>
          </w:p>
        </w:tc>
        <w:tc>
          <w:tcPr>
            <w:tcW w:w="7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F4F9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562"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B41A4E">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793FC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F518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087F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2B07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58E74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F6B5F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0%</w:t>
            </w:r>
          </w:p>
        </w:tc>
      </w:tr>
      <w:tr w14:paraId="5F61BCA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25"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26A0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971B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012403000170001</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FD0E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牵拉试验费-儿童（加收）</w:t>
            </w:r>
          </w:p>
        </w:tc>
        <w:tc>
          <w:tcPr>
            <w:tcW w:w="15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8AE733">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6E9375">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4AEF22">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94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61F4EB">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00332E">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1562"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81FD6C">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BB82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4B97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2D69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B9BA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FCE9A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27A61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0%</w:t>
            </w:r>
          </w:p>
        </w:tc>
      </w:tr>
      <w:tr w14:paraId="420C7F6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92"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9EB9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24</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E9B7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012403000180000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55F1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上睑下垂检查费</w:t>
            </w:r>
          </w:p>
        </w:tc>
        <w:tc>
          <w:tcPr>
            <w:tcW w:w="15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42AE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通过各种方式判断上睑下垂情况。</w:t>
            </w:r>
          </w:p>
        </w:tc>
        <w:tc>
          <w:tcPr>
            <w:tcW w:w="159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EE76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所定价格涵盖准备、测量、记录、分析、出具结果报告以及必要时滴药等步骤所需的人力资源和基本物质资源消耗。</w:t>
            </w:r>
          </w:p>
        </w:tc>
        <w:tc>
          <w:tcPr>
            <w:tcW w:w="76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1F3A5C">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9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5C5B36">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5881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单侧</w:t>
            </w:r>
          </w:p>
        </w:tc>
        <w:tc>
          <w:tcPr>
            <w:tcW w:w="15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F60875">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kern w:val="0"/>
                <w:sz w:val="20"/>
                <w:szCs w:val="20"/>
                <w:lang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9729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CB59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F3C3D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9B8F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7C9BF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226A4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0%</w:t>
            </w:r>
          </w:p>
        </w:tc>
      </w:tr>
      <w:tr w14:paraId="4EB1433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80"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4FCA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25</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3E10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012403000190000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58D1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双眼视觉功能检查费</w:t>
            </w:r>
          </w:p>
        </w:tc>
        <w:tc>
          <w:tcPr>
            <w:tcW w:w="15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82DE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通过人工或设备，评估聚散功能、调节功能和立体视觉。</w:t>
            </w:r>
          </w:p>
        </w:tc>
        <w:tc>
          <w:tcPr>
            <w:tcW w:w="159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8388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所定价格涵盖设备准备、调节、检查、记录、分析、出具结果报告等步骤所需的人力资源和基本物质资源消耗。</w:t>
            </w:r>
          </w:p>
        </w:tc>
        <w:tc>
          <w:tcPr>
            <w:tcW w:w="76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B5A1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94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9A315B">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3298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次</w:t>
            </w:r>
          </w:p>
        </w:tc>
        <w:tc>
          <w:tcPr>
            <w:tcW w:w="1562"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78028A">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kern w:val="0"/>
                <w:sz w:val="20"/>
                <w:szCs w:val="20"/>
                <w:lang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7E10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6FC7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1AD59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2D86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8CC10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FBFC6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0%</w:t>
            </w:r>
          </w:p>
        </w:tc>
      </w:tr>
      <w:tr w14:paraId="37383AA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76"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0301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26</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C7CE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012403000190001</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CDC0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双眼视觉功能检查费-儿童（加收）</w:t>
            </w:r>
          </w:p>
        </w:tc>
        <w:tc>
          <w:tcPr>
            <w:tcW w:w="15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CD7124">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kern w:val="0"/>
                <w:sz w:val="20"/>
                <w:szCs w:val="20"/>
                <w:lang w:bidi="ar"/>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F8484B">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kern w:val="0"/>
                <w:sz w:val="20"/>
                <w:szCs w:val="20"/>
                <w:lang w:bidi="ar"/>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3EAE5F">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94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A9EF73">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6B826A">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kern w:val="0"/>
                <w:sz w:val="20"/>
                <w:szCs w:val="20"/>
                <w:lang w:bidi="ar"/>
              </w:rPr>
            </w:pPr>
          </w:p>
        </w:tc>
        <w:tc>
          <w:tcPr>
            <w:tcW w:w="1562"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E84FD5">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kern w:val="0"/>
                <w:sz w:val="20"/>
                <w:szCs w:val="20"/>
                <w:lang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A8AF6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仿宋" w:hAnsi="仿宋" w:eastAsia="仿宋" w:cs="仿宋"/>
                <w:kern w:val="0"/>
                <w:sz w:val="20"/>
                <w:szCs w:val="20"/>
                <w:lang w:bidi="ar"/>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ECB7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仿宋" w:hAnsi="仿宋" w:eastAsia="仿宋" w:cs="仿宋"/>
                <w:kern w:val="0"/>
                <w:sz w:val="20"/>
                <w:szCs w:val="20"/>
                <w:lang w:bidi="ar"/>
              </w:rPr>
            </w:pPr>
            <w:r>
              <w:rPr>
                <w:rFonts w:hint="eastAsia" w:ascii="宋体" w:hAnsi="宋体" w:eastAsia="宋体" w:cs="宋体"/>
                <w:i w:val="0"/>
                <w:iCs w:val="0"/>
                <w:color w:val="000000"/>
                <w:kern w:val="0"/>
                <w:sz w:val="20"/>
                <w:szCs w:val="20"/>
                <w:u w:val="none"/>
                <w:lang w:val="en-US" w:eastAsia="zh-CN" w:bidi="ar"/>
              </w:rPr>
              <w:t>5</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11254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仿宋" w:hAnsi="仿宋" w:eastAsia="仿宋" w:cs="仿宋"/>
                <w:kern w:val="0"/>
                <w:sz w:val="20"/>
                <w:szCs w:val="20"/>
                <w:lang w:bidi="ar"/>
              </w:rPr>
            </w:pPr>
            <w:r>
              <w:rPr>
                <w:rFonts w:hint="eastAsia" w:ascii="宋体" w:hAnsi="宋体" w:eastAsia="宋体" w:cs="宋体"/>
                <w:i w:val="0"/>
                <w:iCs w:val="0"/>
                <w:color w:val="000000"/>
                <w:kern w:val="0"/>
                <w:sz w:val="20"/>
                <w:szCs w:val="20"/>
                <w:u w:val="none"/>
                <w:lang w:val="en-US" w:eastAsia="zh-CN" w:bidi="ar"/>
              </w:rPr>
              <w:t>5</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DE89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仿宋" w:hAnsi="仿宋" w:eastAsia="仿宋" w:cs="仿宋"/>
                <w:kern w:val="0"/>
                <w:sz w:val="20"/>
                <w:szCs w:val="20"/>
                <w:lang w:bidi="ar"/>
              </w:rPr>
            </w:pPr>
            <w:r>
              <w:rPr>
                <w:rFonts w:hint="eastAsia" w:ascii="宋体" w:hAnsi="宋体" w:eastAsia="宋体" w:cs="宋体"/>
                <w:i w:val="0"/>
                <w:iCs w:val="0"/>
                <w:color w:val="000000"/>
                <w:kern w:val="0"/>
                <w:sz w:val="20"/>
                <w:szCs w:val="20"/>
                <w:u w:val="none"/>
                <w:lang w:val="en-US" w:eastAsia="zh-CN" w:bidi="ar"/>
              </w:rPr>
              <w:t>4</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841A4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01FFA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0%</w:t>
            </w:r>
          </w:p>
        </w:tc>
      </w:tr>
      <w:tr w14:paraId="381AED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55"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2FCF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31</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ADC1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012403000210000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7254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眼底镜检查费</w:t>
            </w:r>
          </w:p>
        </w:tc>
        <w:tc>
          <w:tcPr>
            <w:tcW w:w="15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DE21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通过眼底镜观察眼底结构。</w:t>
            </w:r>
          </w:p>
        </w:tc>
        <w:tc>
          <w:tcPr>
            <w:tcW w:w="159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6E2E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所定价格涵盖设备准备、观察、记录、出具结果报告等步骤所需的人力资源与基本物质资源消耗。</w:t>
            </w:r>
          </w:p>
        </w:tc>
        <w:tc>
          <w:tcPr>
            <w:tcW w:w="76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9D8E62">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9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8E1B19">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A163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单侧</w:t>
            </w:r>
          </w:p>
        </w:tc>
        <w:tc>
          <w:tcPr>
            <w:tcW w:w="15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CEEB96">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kern w:val="0"/>
                <w:sz w:val="20"/>
                <w:szCs w:val="20"/>
                <w:lang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17C8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仿宋" w:hAnsi="仿宋" w:eastAsia="仿宋" w:cs="仿宋"/>
                <w:kern w:val="0"/>
                <w:sz w:val="20"/>
                <w:szCs w:val="20"/>
                <w:lang w:bidi="ar"/>
              </w:rPr>
            </w:pPr>
            <w:r>
              <w:rPr>
                <w:rFonts w:hint="eastAsia" w:ascii="宋体" w:hAnsi="宋体" w:eastAsia="宋体" w:cs="宋体"/>
                <w:i w:val="0"/>
                <w:iCs w:val="0"/>
                <w:color w:val="000000"/>
                <w:kern w:val="0"/>
                <w:sz w:val="20"/>
                <w:szCs w:val="20"/>
                <w:u w:val="none"/>
                <w:lang w:val="en-US" w:eastAsia="zh-CN" w:bidi="ar"/>
              </w:rPr>
              <w:t>12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07B9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仿宋" w:hAnsi="仿宋" w:eastAsia="仿宋" w:cs="仿宋"/>
                <w:kern w:val="0"/>
                <w:sz w:val="20"/>
                <w:szCs w:val="20"/>
                <w:lang w:bidi="ar"/>
              </w:rPr>
            </w:pPr>
            <w:r>
              <w:rPr>
                <w:rFonts w:hint="eastAsia" w:ascii="宋体" w:hAnsi="宋体" w:eastAsia="宋体" w:cs="宋体"/>
                <w:i w:val="0"/>
                <w:iCs w:val="0"/>
                <w:color w:val="000000"/>
                <w:kern w:val="0"/>
                <w:sz w:val="20"/>
                <w:szCs w:val="20"/>
                <w:u w:val="none"/>
                <w:lang w:val="en-US" w:eastAsia="zh-CN" w:bidi="ar"/>
              </w:rPr>
              <w:t>12</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98D8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仿宋" w:hAnsi="仿宋" w:eastAsia="仿宋" w:cs="仿宋"/>
                <w:kern w:val="0"/>
                <w:sz w:val="20"/>
                <w:szCs w:val="20"/>
                <w:lang w:bidi="ar"/>
              </w:rPr>
            </w:pPr>
            <w:r>
              <w:rPr>
                <w:rFonts w:hint="eastAsia" w:ascii="宋体" w:hAnsi="宋体" w:eastAsia="宋体" w:cs="宋体"/>
                <w:i w:val="0"/>
                <w:iCs w:val="0"/>
                <w:color w:val="000000"/>
                <w:kern w:val="0"/>
                <w:sz w:val="20"/>
                <w:szCs w:val="20"/>
                <w:u w:val="none"/>
                <w:lang w:val="en-US" w:eastAsia="zh-CN" w:bidi="ar"/>
              </w:rPr>
              <w:t>12</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CD5E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仿宋" w:hAnsi="仿宋" w:eastAsia="仿宋" w:cs="仿宋"/>
                <w:kern w:val="0"/>
                <w:sz w:val="20"/>
                <w:szCs w:val="20"/>
                <w:lang w:bidi="ar"/>
              </w:rPr>
            </w:pPr>
            <w:r>
              <w:rPr>
                <w:rFonts w:hint="eastAsia" w:ascii="宋体" w:hAnsi="宋体" w:eastAsia="宋体" w:cs="宋体"/>
                <w:i w:val="0"/>
                <w:iCs w:val="0"/>
                <w:color w:val="000000"/>
                <w:kern w:val="0"/>
                <w:sz w:val="20"/>
                <w:szCs w:val="20"/>
                <w:u w:val="none"/>
                <w:lang w:val="en-US" w:eastAsia="zh-CN" w:bidi="ar"/>
              </w:rPr>
              <w:t>12</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85E5D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02272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0%</w:t>
            </w:r>
          </w:p>
        </w:tc>
      </w:tr>
      <w:tr w14:paraId="1AB66D7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25"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0935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35</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D3A8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012403000240000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4929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眼球突出度测量费</w:t>
            </w:r>
          </w:p>
        </w:tc>
        <w:tc>
          <w:tcPr>
            <w:tcW w:w="15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C167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通过各种方式测量眼球突出度。</w:t>
            </w:r>
          </w:p>
        </w:tc>
        <w:tc>
          <w:tcPr>
            <w:tcW w:w="159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F928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所定价格涵盖设备准备、观察测量、记录、出具结果报告等步骤所需的人力资源和基本物质资源消耗。</w:t>
            </w:r>
          </w:p>
        </w:tc>
        <w:tc>
          <w:tcPr>
            <w:tcW w:w="76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4C42EE">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9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FD2039">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7BD1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次</w:t>
            </w:r>
          </w:p>
        </w:tc>
        <w:tc>
          <w:tcPr>
            <w:tcW w:w="15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C0E7AE">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kern w:val="0"/>
                <w:sz w:val="20"/>
                <w:szCs w:val="20"/>
                <w:lang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BF3D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B69C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7C280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5078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8D3B8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753E3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0%</w:t>
            </w:r>
          </w:p>
        </w:tc>
      </w:tr>
      <w:tr w14:paraId="3694BE4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75"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F4BA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36</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F057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012403000250000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36C1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眼外肌功能检查费</w:t>
            </w:r>
          </w:p>
        </w:tc>
        <w:tc>
          <w:tcPr>
            <w:tcW w:w="15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631B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通过分析眼球运动轨迹，评估眼外肌功能。</w:t>
            </w:r>
          </w:p>
        </w:tc>
        <w:tc>
          <w:tcPr>
            <w:tcW w:w="159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A487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所定价格涵盖移动光源、观察、记录、出具结果报告所需的人力资源和基本物质资源消耗。</w:t>
            </w:r>
          </w:p>
        </w:tc>
        <w:tc>
          <w:tcPr>
            <w:tcW w:w="76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0EEF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94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58316B">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F5C3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次</w:t>
            </w:r>
          </w:p>
        </w:tc>
        <w:tc>
          <w:tcPr>
            <w:tcW w:w="1562"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8A3CD6">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kern w:val="0"/>
                <w:sz w:val="20"/>
                <w:szCs w:val="20"/>
                <w:lang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D622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DF23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A44A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AC7C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BF51C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9B4CC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0%</w:t>
            </w:r>
          </w:p>
        </w:tc>
      </w:tr>
      <w:tr w14:paraId="372AA8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5"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549D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37</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31F7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012403000250001</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836C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眼外肌功能检查费-儿童（加收）</w:t>
            </w:r>
          </w:p>
        </w:tc>
        <w:tc>
          <w:tcPr>
            <w:tcW w:w="15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56863B">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kern w:val="0"/>
                <w:sz w:val="20"/>
                <w:szCs w:val="20"/>
                <w:lang w:bidi="ar"/>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627FB4">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kern w:val="0"/>
                <w:sz w:val="20"/>
                <w:szCs w:val="20"/>
                <w:lang w:bidi="ar"/>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A8B724">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94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8AA6C6">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45842F">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kern w:val="0"/>
                <w:sz w:val="20"/>
                <w:szCs w:val="20"/>
                <w:lang w:bidi="ar"/>
              </w:rPr>
            </w:pPr>
          </w:p>
        </w:tc>
        <w:tc>
          <w:tcPr>
            <w:tcW w:w="1562"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22384C">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kern w:val="0"/>
                <w:sz w:val="20"/>
                <w:szCs w:val="20"/>
                <w:lang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E728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BE9B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56AC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7B54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8F93D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D2B66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0%</w:t>
            </w:r>
          </w:p>
        </w:tc>
      </w:tr>
      <w:tr w14:paraId="7D734D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75"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7CC0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AED0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012403000260000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2D2C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眼像差检查费</w:t>
            </w:r>
          </w:p>
        </w:tc>
        <w:tc>
          <w:tcPr>
            <w:tcW w:w="15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71F0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应用各种检查仪器分析视觉质量。</w:t>
            </w:r>
          </w:p>
        </w:tc>
        <w:tc>
          <w:tcPr>
            <w:tcW w:w="159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F5E1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所定价格涵盖设备准备、检查测定、记录、分析、出具结果报告等步骤所需的人力资源和基本物质资源消耗。</w:t>
            </w:r>
          </w:p>
        </w:tc>
        <w:tc>
          <w:tcPr>
            <w:tcW w:w="76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E4C60C">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9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344F4A">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78FC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5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82D089">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F80E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7E8C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C0E4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EA9C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C7250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69DDD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0%</w:t>
            </w:r>
          </w:p>
        </w:tc>
      </w:tr>
      <w:tr w14:paraId="27AE8B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135"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9B56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B90D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012403000270000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BF4C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眼轴测量费</w:t>
            </w:r>
          </w:p>
        </w:tc>
        <w:tc>
          <w:tcPr>
            <w:tcW w:w="15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A459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应用各种检查仪器测定眼轴。</w:t>
            </w:r>
          </w:p>
        </w:tc>
        <w:tc>
          <w:tcPr>
            <w:tcW w:w="159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4E04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所定价格涵盖消毒、设备准备、测量、重复多次、记录、分析、出具结果报告等步骤所需的人力资源和基本物质资源消耗。</w:t>
            </w:r>
          </w:p>
        </w:tc>
        <w:tc>
          <w:tcPr>
            <w:tcW w:w="76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AEF694">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9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1CE113">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F3C5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5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C8C3FD">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E1FA0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F518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841E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DAFC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BF846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FA0D8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0%</w:t>
            </w:r>
          </w:p>
        </w:tc>
      </w:tr>
      <w:tr w14:paraId="0937B19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02"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F642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1D12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012403000290000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41B7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代偿头位测定费</w:t>
            </w:r>
          </w:p>
        </w:tc>
        <w:tc>
          <w:tcPr>
            <w:tcW w:w="15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6FAB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通过各种方式检查头部偏斜情况。</w:t>
            </w:r>
          </w:p>
        </w:tc>
        <w:tc>
          <w:tcPr>
            <w:tcW w:w="159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1C11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所定价格涵盖摆位、设备准备、调整头位、记录、分析、出具结果报告等步骤所需的人力资源和基本物质资源消耗。</w:t>
            </w:r>
          </w:p>
        </w:tc>
        <w:tc>
          <w:tcPr>
            <w:tcW w:w="76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EC85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01儿童加收30%</w:t>
            </w:r>
          </w:p>
        </w:tc>
        <w:tc>
          <w:tcPr>
            <w:tcW w:w="94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DF4143">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5D56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62"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3071EE">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BFC1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0E9B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2DA9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D44A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F4951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8DC52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0%</w:t>
            </w:r>
          </w:p>
        </w:tc>
      </w:tr>
      <w:tr w14:paraId="3EC9FB0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90"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905B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6981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012403000290001</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2FB8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代偿头位测定费-儿童（加收）</w:t>
            </w:r>
          </w:p>
        </w:tc>
        <w:tc>
          <w:tcPr>
            <w:tcW w:w="15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4316AD">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09B1CD">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95516E">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94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EE6FBE">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771004">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1562"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4074B3">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9AFB6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F490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2846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E325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90D71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20690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0%</w:t>
            </w:r>
          </w:p>
        </w:tc>
      </w:tr>
      <w:tr w14:paraId="2487206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C162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D0B9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012403000300000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8B30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房角镜检查费</w:t>
            </w:r>
          </w:p>
        </w:tc>
        <w:tc>
          <w:tcPr>
            <w:tcW w:w="15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34A1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利用房角镜进行各类检查。</w:t>
            </w:r>
          </w:p>
        </w:tc>
        <w:tc>
          <w:tcPr>
            <w:tcW w:w="159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F0C8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所定价格涵盖摆位、设备准备、检查、记录、分析、出具结果报告等步骤所需的人力资源和基本物质资源消耗。</w:t>
            </w:r>
          </w:p>
        </w:tc>
        <w:tc>
          <w:tcPr>
            <w:tcW w:w="76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599395">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9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801FE6">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1D74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5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B65CC7">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50443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B4C24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BFCF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2F93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478DD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B6797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0%</w:t>
            </w:r>
          </w:p>
        </w:tc>
      </w:tr>
      <w:tr w14:paraId="7818226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58" w:hRule="atLeast"/>
          <w:jc w:val="center"/>
        </w:trPr>
        <w:tc>
          <w:tcPr>
            <w:tcW w:w="50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C153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w:t>
            </w:r>
          </w:p>
        </w:tc>
        <w:tc>
          <w:tcPr>
            <w:tcW w:w="16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EB5A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012403000310000</w:t>
            </w:r>
          </w:p>
        </w:tc>
        <w:tc>
          <w:tcPr>
            <w:tcW w:w="1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27FD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裂隙灯检查费</w:t>
            </w:r>
          </w:p>
        </w:tc>
        <w:tc>
          <w:tcPr>
            <w:tcW w:w="15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4D15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通过应用裂隙灯显微镜进行各类检查。</w:t>
            </w:r>
          </w:p>
        </w:tc>
        <w:tc>
          <w:tcPr>
            <w:tcW w:w="159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E556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所定价格涵盖摆位、设备准备、测试、记录、分析、出具结果报告等步骤所需的人力资源和基本物质资源消耗。</w:t>
            </w:r>
          </w:p>
        </w:tc>
        <w:tc>
          <w:tcPr>
            <w:tcW w:w="76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C3047C">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94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02406C">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75F7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62"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7C58E8">
            <w:pPr>
              <w:keepNext w:val="0"/>
              <w:keepLines w:val="0"/>
              <w:pageBreakBefore w:val="0"/>
              <w:widowControl/>
              <w:kinsoku/>
              <w:wordWrap/>
              <w:overflowPunct/>
              <w:topLinePunct w:val="0"/>
              <w:autoSpaceDE/>
              <w:autoSpaceDN/>
              <w:bidi w:val="0"/>
              <w:adjustRightInd/>
              <w:snapToGrid/>
              <w:spacing w:line="240" w:lineRule="exact"/>
              <w:jc w:val="center"/>
              <w:rPr>
                <w:rFonts w:ascii="宋体" w:hAnsi="宋体" w:cs="宋体"/>
                <w:b/>
                <w:bCs/>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5D05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4A61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33"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8C27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3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0594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814DD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甲类</w:t>
            </w:r>
          </w:p>
        </w:tc>
        <w:tc>
          <w:tcPr>
            <w:tcW w:w="55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CDA91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0"/>
                <w:sz w:val="18"/>
                <w:szCs w:val="18"/>
                <w:lang w:bidi="ar"/>
              </w:rPr>
            </w:pPr>
            <w:r>
              <w:rPr>
                <w:rFonts w:hint="eastAsia" w:ascii="宋体" w:hAnsi="宋体" w:eastAsia="宋体" w:cs="宋体"/>
                <w:i w:val="0"/>
                <w:iCs w:val="0"/>
                <w:color w:val="000000"/>
                <w:kern w:val="0"/>
                <w:sz w:val="20"/>
                <w:szCs w:val="20"/>
                <w:u w:val="none"/>
                <w:lang w:val="en-US" w:eastAsia="zh-CN" w:bidi="ar"/>
              </w:rPr>
              <w:t>0%</w:t>
            </w:r>
          </w:p>
        </w:tc>
      </w:tr>
    </w:tbl>
    <w:p w14:paraId="19130814">
      <w:pPr>
        <w:spacing w:line="320" w:lineRule="exact"/>
        <w:rPr>
          <w:rFonts w:hint="eastAsia" w:ascii="仿宋_GB2312" w:hAnsi="仿宋_GB2312" w:eastAsia="仿宋_GB2312" w:cs="仿宋_GB2312"/>
          <w:b/>
          <w:bCs/>
          <w:sz w:val="28"/>
          <w:szCs w:val="28"/>
          <w:shd w:val="clear" w:color="auto" w:fill="FFFFFF"/>
        </w:rPr>
      </w:pPr>
    </w:p>
    <w:p w14:paraId="3267C987">
      <w:pPr>
        <w:spacing w:line="320" w:lineRule="exact"/>
        <w:rPr>
          <w:rFonts w:hint="eastAsia" w:ascii="仿宋_GB2312" w:hAnsi="仿宋_GB2312" w:eastAsia="仿宋_GB2312" w:cs="仿宋_GB2312"/>
          <w:b/>
          <w:bCs/>
          <w:sz w:val="28"/>
          <w:szCs w:val="28"/>
          <w:shd w:val="clear" w:color="auto" w:fill="FFFFFF"/>
        </w:rPr>
      </w:pPr>
    </w:p>
    <w:p w14:paraId="7060E198">
      <w:pPr>
        <w:spacing w:line="320" w:lineRule="exact"/>
        <w:rPr>
          <w:rFonts w:hint="eastAsia" w:ascii="仿宋_GB2312" w:hAnsi="仿宋_GB2312" w:eastAsia="仿宋_GB2312" w:cs="仿宋_GB2312"/>
          <w:b/>
          <w:bCs/>
          <w:sz w:val="28"/>
          <w:szCs w:val="28"/>
          <w:shd w:val="clear" w:color="auto" w:fill="FFFFFF"/>
        </w:rPr>
      </w:pPr>
      <w:bookmarkStart w:id="0" w:name="_GoBack"/>
      <w:bookmarkEnd w:id="0"/>
      <w:r>
        <w:rPr>
          <w:rFonts w:hint="eastAsia" w:ascii="仿宋_GB2312" w:hAnsi="仿宋_GB2312" w:eastAsia="仿宋_GB2312" w:cs="仿宋_GB2312"/>
          <w:b/>
          <w:bCs/>
          <w:sz w:val="28"/>
          <w:szCs w:val="28"/>
          <w:shd w:val="clear" w:color="auto" w:fill="FFFFFF"/>
        </w:rPr>
        <w:t>解释说明：</w:t>
      </w:r>
    </w:p>
    <w:p w14:paraId="01A7B8D2">
      <w:pPr>
        <w:keepNext w:val="0"/>
        <w:keepLines w:val="0"/>
        <w:pageBreakBefore w:val="0"/>
        <w:widowControl w:val="0"/>
        <w:kinsoku/>
        <w:wordWrap/>
        <w:overflowPunct/>
        <w:topLinePunct w:val="0"/>
        <w:autoSpaceDE/>
        <w:autoSpaceDN/>
        <w:bidi w:val="0"/>
        <w:adjustRightInd/>
        <w:snapToGrid/>
        <w:spacing w:line="300" w:lineRule="exact"/>
        <w:ind w:firstLine="560" w:firstLineChars="200"/>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1.本指南以眼科为重点、按照眼科相关主要环节的服务产出设立医疗服务价格项目。</w:t>
      </w:r>
    </w:p>
    <w:p w14:paraId="068B35C3">
      <w:pPr>
        <w:keepNext w:val="0"/>
        <w:keepLines w:val="0"/>
        <w:pageBreakBefore w:val="0"/>
        <w:widowControl w:val="0"/>
        <w:kinsoku/>
        <w:wordWrap/>
        <w:overflowPunct/>
        <w:topLinePunct w:val="0"/>
        <w:autoSpaceDE/>
        <w:autoSpaceDN/>
        <w:bidi w:val="0"/>
        <w:adjustRightInd/>
        <w:snapToGrid/>
        <w:spacing w:line="300" w:lineRule="exact"/>
        <w:ind w:firstLine="560" w:firstLineChars="200"/>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2.根据《深化医疗服务价格改革试点方案》（医保发〔2021〕41号）“厘清价格项目与临床诊疗技术规范、医疗机构成本要素、不同应用场和收费标准等的政策边界。分类整合现行价格项目，实现价格项目与操作步骤、诊疗部位等技术细节脱钩，增强现行价格项目对医疗技术和医疗活动改良创新的兼容性”要求，服务产出相同的一类项目在操作层面存在差异，但在价格项目和定价水平层面具备合并同类项的条件，立项指南对此进行了合并。立项指南所定价格属于政府指导价为最高限价，下浮不限；医疗机构的医疗技术创新改良，申报新增医疗服务价格项目的，采取“现有项目兼容”的方式简化处理，按照对应的立项指南项目执行。</w:t>
      </w:r>
    </w:p>
    <w:p w14:paraId="04462F13">
      <w:pPr>
        <w:keepNext w:val="0"/>
        <w:keepLines w:val="0"/>
        <w:pageBreakBefore w:val="0"/>
        <w:widowControl w:val="0"/>
        <w:kinsoku/>
        <w:wordWrap/>
        <w:overflowPunct/>
        <w:topLinePunct w:val="0"/>
        <w:autoSpaceDE/>
        <w:autoSpaceDN/>
        <w:bidi w:val="0"/>
        <w:adjustRightInd/>
        <w:snapToGrid/>
        <w:spacing w:line="300" w:lineRule="exact"/>
        <w:ind w:firstLine="560" w:firstLineChars="200"/>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3.本指南所称的“价格构成”，指项目价格应涵盖的各类资源消耗，用于确定计价单元的边界，是各级医疗保障部门制定调整项目价格考虑的测算因子，不应作为临床技术标准理解，不是实际操作方式、路径、步骤、程序的强制性要求，价格构成中包含，但个别临床实践中非必要、未发生的，无需强制要求公立医疗机构减计费用。所列“设备投入”包括但不限于操作设备、器械及固定资产投入。</w:t>
      </w:r>
    </w:p>
    <w:p w14:paraId="74E9D5A4">
      <w:pPr>
        <w:keepNext w:val="0"/>
        <w:keepLines w:val="0"/>
        <w:pageBreakBefore w:val="0"/>
        <w:widowControl w:val="0"/>
        <w:kinsoku/>
        <w:wordWrap/>
        <w:overflowPunct/>
        <w:topLinePunct w:val="0"/>
        <w:autoSpaceDE/>
        <w:autoSpaceDN/>
        <w:bidi w:val="0"/>
        <w:adjustRightInd/>
        <w:snapToGrid/>
        <w:spacing w:line="300" w:lineRule="exact"/>
        <w:ind w:firstLine="560" w:firstLineChars="200"/>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4.本指南所称的“加收项”，指同一项目以不同方式提供或在不同场景应用时，确有必要制定差异化收费标准而细分的一类子项，包括在原项目价格基础上增加或减少收费的情况，具体的加/减收标准（加/减收率或加/减收金额）由各地依权限制定。实际应用中，同时涉及多个加收项的，以项目单价为基础计算各项的加/减收水平后，求和得出加/减收金额。</w:t>
      </w:r>
    </w:p>
    <w:p w14:paraId="271670BF">
      <w:pPr>
        <w:keepNext w:val="0"/>
        <w:keepLines w:val="0"/>
        <w:pageBreakBefore w:val="0"/>
        <w:widowControl w:val="0"/>
        <w:kinsoku/>
        <w:wordWrap/>
        <w:overflowPunct/>
        <w:topLinePunct w:val="0"/>
        <w:autoSpaceDE/>
        <w:autoSpaceDN/>
        <w:bidi w:val="0"/>
        <w:adjustRightInd/>
        <w:snapToGrid/>
        <w:spacing w:line="300" w:lineRule="exact"/>
        <w:ind w:firstLine="560" w:firstLineChars="200"/>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5.本指南所称的“扩展项”，指同一项目下以不同方式提供或在不同场景应用时，只扩展价格项目适用范围、不额外加价的一类子项，子项的价格按主项目执行。</w:t>
      </w:r>
    </w:p>
    <w:p w14:paraId="4BD0CB4A">
      <w:pPr>
        <w:keepNext w:val="0"/>
        <w:keepLines w:val="0"/>
        <w:pageBreakBefore w:val="0"/>
        <w:widowControl w:val="0"/>
        <w:kinsoku/>
        <w:wordWrap/>
        <w:overflowPunct/>
        <w:topLinePunct w:val="0"/>
        <w:autoSpaceDE/>
        <w:autoSpaceDN/>
        <w:bidi w:val="0"/>
        <w:adjustRightInd/>
        <w:snapToGrid/>
        <w:spacing w:line="300" w:lineRule="exact"/>
        <w:ind w:firstLine="560" w:firstLineChars="200"/>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6.本指南所称的“基本物耗”指原则上限于不应或不必要与医疗服务项目分割的易耗品，包括但不限于各类消杀灭菌用品、储存用品、清洁用品、个人防护用品、垃圾处理用品、滑石粉、标签、防渗漏垫、中单、护（尿）垫、棉球、棉签、纱布（垫）、治疗护理盘（包）、治疗巾（单）、手术巾（单）、手术包、泪道冲洗针头、普通注射器、可复用的操作器具、冲洗工具、医用视力表、滤纸条/试纸条、耦合剂、脱落细胞采集膜、刮刀、巩膜加压材料、影像存储介质、报告打印耗材、软件（版权、开发、购买）成本、一次性眼科无菌患者接口等。基本物耗成本计入项目价格，不另行收费。除基本物耗以外的其他耗材，立项指南落地前价格项目除外内容的可收费医用耗材，按照实际采购价格零差率销售另行收费。</w:t>
      </w:r>
    </w:p>
    <w:p w14:paraId="527DC88D">
      <w:pPr>
        <w:keepNext w:val="0"/>
        <w:keepLines w:val="0"/>
        <w:pageBreakBefore w:val="0"/>
        <w:widowControl w:val="0"/>
        <w:kinsoku/>
        <w:wordWrap/>
        <w:overflowPunct/>
        <w:topLinePunct w:val="0"/>
        <w:autoSpaceDE/>
        <w:autoSpaceDN/>
        <w:bidi w:val="0"/>
        <w:adjustRightInd/>
        <w:snapToGrid/>
        <w:spacing w:line="300" w:lineRule="exact"/>
        <w:ind w:firstLine="560" w:firstLineChars="200"/>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7.涉及“复杂”等内涵未尽的表述，除立项指南中已明确的情形外，医院实践中按照“复杂”情形计费的，应以国家级技术规范、临床指南或专家共识中的明确定性为前提，下同。</w:t>
      </w:r>
    </w:p>
    <w:p w14:paraId="62FFF500">
      <w:pPr>
        <w:keepNext w:val="0"/>
        <w:keepLines w:val="0"/>
        <w:pageBreakBefore w:val="0"/>
        <w:widowControl w:val="0"/>
        <w:kinsoku/>
        <w:wordWrap/>
        <w:overflowPunct/>
        <w:topLinePunct w:val="0"/>
        <w:autoSpaceDE/>
        <w:autoSpaceDN/>
        <w:bidi w:val="0"/>
        <w:adjustRightInd/>
        <w:snapToGrid/>
        <w:spacing w:line="300" w:lineRule="exact"/>
        <w:ind w:firstLine="560" w:firstLineChars="200"/>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8.本指南价格构成中所称的“穿刺”为主项操作涉及的必要穿刺步骤。</w:t>
      </w:r>
    </w:p>
    <w:p w14:paraId="7A571BBA">
      <w:pPr>
        <w:keepNext w:val="0"/>
        <w:keepLines w:val="0"/>
        <w:pageBreakBefore w:val="0"/>
        <w:widowControl w:val="0"/>
        <w:kinsoku/>
        <w:wordWrap/>
        <w:overflowPunct/>
        <w:topLinePunct w:val="0"/>
        <w:autoSpaceDE/>
        <w:autoSpaceDN/>
        <w:bidi w:val="0"/>
        <w:adjustRightInd/>
        <w:snapToGrid/>
        <w:spacing w:line="300" w:lineRule="exact"/>
        <w:ind w:firstLine="560" w:firstLineChars="200"/>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9.本指南中涉及“包括……”“…… 等”的，属于开放型表述，所指对象不仅局限于表述中列明的事项，也包括未列明的同类事项。</w:t>
      </w:r>
    </w:p>
    <w:p w14:paraId="36D1D71B">
      <w:pPr>
        <w:keepNext w:val="0"/>
        <w:keepLines w:val="0"/>
        <w:pageBreakBefore w:val="0"/>
        <w:widowControl w:val="0"/>
        <w:kinsoku/>
        <w:wordWrap/>
        <w:overflowPunct/>
        <w:topLinePunct w:val="0"/>
        <w:autoSpaceDE/>
        <w:autoSpaceDN/>
        <w:bidi w:val="0"/>
        <w:adjustRightInd/>
        <w:snapToGrid/>
        <w:spacing w:line="300" w:lineRule="exact"/>
        <w:ind w:firstLine="560" w:firstLineChars="200"/>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10.本指南中手术项目若需病理取样，地方定价时应考虑在原项目的价格构成中包含标本的留取和送检。</w:t>
      </w:r>
    </w:p>
    <w:p w14:paraId="6D56C9EE">
      <w:pPr>
        <w:keepNext w:val="0"/>
        <w:keepLines w:val="0"/>
        <w:pageBreakBefore w:val="0"/>
        <w:widowControl w:val="0"/>
        <w:kinsoku/>
        <w:wordWrap/>
        <w:overflowPunct/>
        <w:topLinePunct w:val="0"/>
        <w:autoSpaceDE/>
        <w:autoSpaceDN/>
        <w:bidi w:val="0"/>
        <w:adjustRightInd/>
        <w:snapToGrid/>
        <w:spacing w:line="300" w:lineRule="exact"/>
        <w:ind w:firstLine="560" w:firstLineChars="200"/>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11.各类需内镜下进行的手术项目，已包含手术涉及的各类内镜使用成本，医疗机构在开展相关操作时（如经鼻内镜开展的辅助操作）不再另行收费。</w:t>
      </w:r>
    </w:p>
    <w:p w14:paraId="7E274D30">
      <w:pPr>
        <w:keepNext w:val="0"/>
        <w:keepLines w:val="0"/>
        <w:pageBreakBefore w:val="0"/>
        <w:widowControl w:val="0"/>
        <w:kinsoku/>
        <w:wordWrap/>
        <w:overflowPunct/>
        <w:topLinePunct w:val="0"/>
        <w:autoSpaceDE/>
        <w:autoSpaceDN/>
        <w:bidi w:val="0"/>
        <w:adjustRightInd/>
        <w:snapToGrid/>
        <w:spacing w:line="300" w:lineRule="exact"/>
        <w:ind w:firstLine="560" w:firstLineChars="200"/>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12.本指南中价格项目可应用人工智能辅助进行的，可直接按主项目收费，不同时收费。</w:t>
      </w:r>
    </w:p>
    <w:p w14:paraId="13467BA3">
      <w:r>
        <w:rPr>
          <w:rFonts w:hint="eastAsia" w:ascii="仿宋_GB2312" w:hAnsi="仿宋_GB2312" w:eastAsia="仿宋_GB2312" w:cs="仿宋_GB2312"/>
          <w:sz w:val="28"/>
          <w:szCs w:val="28"/>
          <w:shd w:val="clear" w:color="auto" w:fill="FFFFFF"/>
        </w:rPr>
        <w:t>13.除立项指南中单独说明可按检查方式叠加收费的价格项目外，其他价格项目单次诊疗过程中仅能收费一次。另外，同一辅助操作下同时开展多个手术或治疗时，仅收取一次辅助操作费用。如行双侧眼内穿刺术时，使用“高倍显微镜”仅可计费一次。</w:t>
      </w:r>
    </w:p>
    <w:sectPr>
      <w:pgSz w:w="16838" w:h="11906" w:orient="landscape"/>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5181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qFormat/>
    <w:uiPriority w:val="0"/>
    <w:rPr>
      <w:color w:val="0000FF"/>
      <w:u w:val="single"/>
    </w:rPr>
  </w:style>
  <w:style w:type="character" w:customStyle="1" w:styleId="5">
    <w:name w:val="font71"/>
    <w:qFormat/>
    <w:uiPriority w:val="0"/>
    <w:rPr>
      <w:rFonts w:hint="default" w:ascii="Times New Roman" w:hAnsi="Times New Roman" w:cs="Times New Roman"/>
      <w:b/>
      <w:bCs/>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2026-08-10T00:37:53Z</dcterms:created>
  <dc:creator>Administrator</dc:creator>
  <cp:lastModifiedBy>旋子！</cp:lastModifiedBy>
  <dcterms:modified xsi:type="dcterms:W3CDTF">2026-08-10T00:38:21Z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eyJoZGlkIjoiMmIwMTI4NjAyZmE1ZGZkYzExMDNmYWFiZTMzYjdmNjciLCJ1c2VySWQiOiI0NTcwMDExODYifQ==</vt:lpwstr>
  </property>
  <property fmtid="{D5CDD505-2E9C-101B-9397-08002B2CF9AE}" pid="4" name="ICV">
    <vt:lpwstr>6358239DBE8F4FF9B2590DF2130425D7_12</vt:lpwstr>
  </property>
</Properties>
</file>