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4C15D">
      <w:pPr>
        <w:spacing w:line="360" w:lineRule="exact"/>
        <w:rPr>
          <w:rFonts w:hint="eastAsia" w:ascii="方正小标宋简体" w:hAnsi="方正小标宋简体" w:eastAsia="黑体" w:cs="方正小标宋简体"/>
          <w:kern w:val="0"/>
          <w:sz w:val="32"/>
          <w:szCs w:val="32"/>
          <w:lang w:eastAsia="zh-CN"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1</w:t>
      </w:r>
      <w:r>
        <w:rPr>
          <w:rFonts w:hint="eastAsia" w:ascii="黑体" w:hAnsi="宋体" w:eastAsia="黑体" w:cs="黑体"/>
          <w:kern w:val="0"/>
          <w:sz w:val="32"/>
          <w:szCs w:val="32"/>
          <w:lang w:bidi="ar"/>
        </w:rPr>
        <w:t>-</w:t>
      </w:r>
      <w:r>
        <w:rPr>
          <w:rFonts w:hint="eastAsia" w:ascii="黑体" w:hAnsi="宋体" w:eastAsia="黑体" w:cs="黑体"/>
          <w:kern w:val="0"/>
          <w:sz w:val="32"/>
          <w:szCs w:val="32"/>
          <w:lang w:val="en-US" w:eastAsia="zh-CN" w:bidi="ar"/>
        </w:rPr>
        <w:t>3</w:t>
      </w:r>
    </w:p>
    <w:p w14:paraId="38AA8F09">
      <w:pPr>
        <w:spacing w:after="156" w:afterLines="50" w:line="600" w:lineRule="exact"/>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常德市</w:t>
      </w:r>
      <w:r>
        <w:rPr>
          <w:rStyle w:val="4"/>
          <w:rFonts w:hint="eastAsia" w:ascii="方正小标宋简体" w:hAnsi="方正小标宋简体" w:eastAsia="方正小标宋简体" w:cs="方正小标宋简体"/>
          <w:color w:val="auto"/>
          <w:sz w:val="44"/>
          <w:szCs w:val="44"/>
          <w:u w:val="none"/>
          <w:shd w:val="clear" w:color="auto" w:fill="FFFFFF"/>
          <w:lang w:val="en-US" w:eastAsia="zh-CN"/>
        </w:rPr>
        <w:t>药学</w:t>
      </w:r>
      <w:r>
        <w:rPr>
          <w:rStyle w:val="4"/>
          <w:rFonts w:hint="eastAsia" w:ascii="方正小标宋简体" w:hAnsi="方正小标宋简体" w:eastAsia="方正小标宋简体" w:cs="方正小标宋简体"/>
          <w:color w:val="auto"/>
          <w:sz w:val="44"/>
          <w:szCs w:val="44"/>
          <w:u w:val="none"/>
          <w:shd w:val="clear" w:color="auto" w:fill="FFFFFF"/>
        </w:rPr>
        <w:t>类</w:t>
      </w:r>
      <w:r>
        <w:rPr>
          <w:rFonts w:hint="eastAsia" w:ascii="方正小标宋简体" w:hAnsi="方正小标宋简体" w:eastAsia="方正小标宋简体" w:cs="方正小标宋简体"/>
          <w:kern w:val="0"/>
          <w:sz w:val="44"/>
          <w:szCs w:val="44"/>
          <w:lang w:bidi="ar"/>
        </w:rPr>
        <w:t>医疗服务</w:t>
      </w:r>
      <w:r>
        <w:rPr>
          <w:rFonts w:hint="eastAsia" w:ascii="方正小标宋简体" w:hAnsi="方正小标宋简体" w:eastAsia="方正小标宋简体" w:cs="方正小标宋简体"/>
          <w:kern w:val="0"/>
          <w:sz w:val="44"/>
          <w:szCs w:val="44"/>
          <w:lang w:val="en-US" w:eastAsia="zh-CN" w:bidi="ar"/>
        </w:rPr>
        <w:t>价格</w:t>
      </w:r>
      <w:r>
        <w:rPr>
          <w:rFonts w:hint="eastAsia" w:ascii="方正小标宋简体" w:hAnsi="方正小标宋简体" w:eastAsia="方正小标宋简体" w:cs="方正小标宋简体"/>
          <w:kern w:val="0"/>
          <w:sz w:val="44"/>
          <w:szCs w:val="44"/>
          <w:lang w:bidi="ar"/>
        </w:rPr>
        <w:t>项目</w:t>
      </w:r>
      <w:r>
        <w:rPr>
          <w:rFonts w:hint="eastAsia" w:ascii="方正小标宋简体" w:hAnsi="方正小标宋简体" w:eastAsia="方正小标宋简体" w:cs="方正小标宋简体"/>
          <w:kern w:val="0"/>
          <w:sz w:val="44"/>
          <w:szCs w:val="44"/>
          <w:lang w:val="en-US" w:eastAsia="zh-CN" w:bidi="ar"/>
        </w:rPr>
        <w:t>废止</w:t>
      </w:r>
      <w:r>
        <w:rPr>
          <w:rFonts w:hint="eastAsia" w:ascii="方正小标宋简体" w:hAnsi="方正小标宋简体" w:eastAsia="方正小标宋简体" w:cs="方正小标宋简体"/>
          <w:kern w:val="0"/>
          <w:sz w:val="44"/>
          <w:szCs w:val="44"/>
          <w:lang w:bidi="ar"/>
        </w:rPr>
        <w:t>表</w:t>
      </w:r>
    </w:p>
    <w:tbl>
      <w:tblPr>
        <w:tblStyle w:val="2"/>
        <w:tblW w:w="14794" w:type="dxa"/>
        <w:jc w:val="center"/>
        <w:tblLayout w:type="fixed"/>
        <w:tblCellMar>
          <w:top w:w="0" w:type="dxa"/>
          <w:left w:w="108" w:type="dxa"/>
          <w:bottom w:w="0" w:type="dxa"/>
          <w:right w:w="108" w:type="dxa"/>
        </w:tblCellMar>
      </w:tblPr>
      <w:tblGrid>
        <w:gridCol w:w="424"/>
        <w:gridCol w:w="567"/>
        <w:gridCol w:w="978"/>
        <w:gridCol w:w="1251"/>
        <w:gridCol w:w="1305"/>
        <w:gridCol w:w="1215"/>
        <w:gridCol w:w="2175"/>
        <w:gridCol w:w="1230"/>
        <w:gridCol w:w="705"/>
        <w:gridCol w:w="1570"/>
        <w:gridCol w:w="863"/>
        <w:gridCol w:w="837"/>
        <w:gridCol w:w="837"/>
        <w:gridCol w:w="837"/>
      </w:tblGrid>
      <w:tr w14:paraId="09A63D3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8144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2631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D7FC7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55B4D1C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483E1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2C5532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C0A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51C547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3AB0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2EA602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2A24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692E9BF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68A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981690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F071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0E0BFA6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7B1A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B5B8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B4D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B8C9F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974FBA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F85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080EF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C82620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A28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8817AA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0839D3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6ADE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389D4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9DED0E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r>
      <w:tr w14:paraId="16F83D8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C8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BC2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C5B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001204000080000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C7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静脉高营养治疗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0F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111100004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3D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全胃肠外营养药物配置</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189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含配置材料</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A06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4B2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A84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32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D27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D1A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E8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r>
      <w:tr w14:paraId="30B202A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A1A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9B8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2DA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001204000130000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98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抗肿瘤化学药物配置</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47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111100005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FA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细胞毒性药物配置</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9D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含配置材料</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BB0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C05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79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EE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41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D13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F4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r>
      <w:tr w14:paraId="617A44E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46E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8C4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F78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431204000150000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45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静脉用药集中调配</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89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111100006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F15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静脉用药集中调配</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FB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指在静脉用药调配中心调配药物的费用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E0F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EF5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0D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药厂已配置好的单瓶药物集中调配不收费</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BB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1A9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A8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A3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r>
      <w:tr w14:paraId="4580B6B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FB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C898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H</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5E3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002503090050000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BE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血清药物浓度测定</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19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111100007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F2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血清药物浓度测定</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F8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对各类药物血清浓度的测定，为临床诊疗提供参考依据。包括放免法或酶免法。所定价格涵盖标本签收、处理、检测、审核结果、信息录入、发送报告、处理废弃物以及接受临床相关咨询等操作步骤的人力资源和基本物质资源消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C4A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D1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药物</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A8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色谱法加收100%，免疫抑制剂药物测定（环孢素A、PK506等）MMM、RFP加收180元。超过3种药物按3种收取。</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2A9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7B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3E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96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5986F15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52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2934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AD9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004800000040000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3F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人工煎药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26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480000004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063E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人工煎药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985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B75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36E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副</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2447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8C1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95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E9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D6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r>
      <w:tr w14:paraId="7743437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67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E3C3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738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004800000050000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12D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煎药机煎药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B8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480000005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D09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煎药机煎药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0D3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A6E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药物</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D4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付（2袋/付）</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0D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膏方煎制费为每料膏剂200元（含配制膏方等人工、燃料、辅料、包装用品等）</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8C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08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50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35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r>
    </w:tbl>
    <w:p w14:paraId="18FA5FF4">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73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2026-08-10T00:36:10Z</dcterms:created>
  <dc:creator>Administrator</dc:creator>
  <cp:lastModifiedBy>旋子！</cp:lastModifiedBy>
  <dcterms:modified xsi:type="dcterms:W3CDTF">2026-08-10T00:36:46Z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98325EA8A5A34E579E4E74648FEC1897_12</vt:lpwstr>
  </property>
</Properties>
</file>