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BCAC79">
      <w:pPr>
        <w:spacing w:line="360" w:lineRule="exact"/>
        <w:rPr>
          <w:rFonts w:ascii="方正小标宋简体" w:hAnsi="方正小标宋简体" w:eastAsia="黑体" w:cs="方正小标宋简体"/>
          <w:kern w:val="0"/>
          <w:sz w:val="32"/>
          <w:szCs w:val="32"/>
          <w:lang w:bidi="ar"/>
        </w:rPr>
      </w:pPr>
      <w:r>
        <w:rPr>
          <w:rFonts w:hint="eastAsia" w:ascii="黑体" w:hAnsi="宋体" w:eastAsia="黑体" w:cs="黑体"/>
          <w:kern w:val="0"/>
          <w:sz w:val="32"/>
          <w:szCs w:val="32"/>
          <w:lang w:bidi="ar"/>
        </w:rPr>
        <w:t>附件1-1</w:t>
      </w:r>
    </w:p>
    <w:p w14:paraId="50CCD653">
      <w:pPr>
        <w:spacing w:after="156" w:afterLines="50" w:line="600" w:lineRule="exact"/>
        <w:jc w:val="center"/>
        <w:rPr>
          <w:rFonts w:ascii="仿宋_GB2312" w:hAnsi="仿宋_GB2312" w:eastAsia="仿宋_GB2312" w:cs="仿宋_GB2312"/>
          <w:sz w:val="28"/>
          <w:szCs w:val="28"/>
        </w:rPr>
      </w:pPr>
      <w:r>
        <w:rPr>
          <w:rFonts w:hint="eastAsia" w:ascii="方正小标宋简体" w:hAnsi="方正小标宋简体" w:eastAsia="方正小标宋简体" w:cs="方正小标宋简体"/>
          <w:kern w:val="0"/>
          <w:sz w:val="44"/>
          <w:szCs w:val="44"/>
          <w:lang w:bidi="ar"/>
        </w:rPr>
        <w:t>常德市</w:t>
      </w:r>
      <w:r>
        <w:rPr>
          <w:rFonts w:hint="eastAsia" w:ascii="方正小标宋简体" w:hAnsi="方正小标宋简体" w:eastAsia="方正小标宋简体" w:cs="方正小标宋简体"/>
          <w:kern w:val="0"/>
          <w:sz w:val="44"/>
          <w:szCs w:val="44"/>
          <w:lang w:val="en-US" w:eastAsia="zh-CN" w:bidi="ar"/>
        </w:rPr>
        <w:t>药学</w:t>
      </w:r>
      <w:r>
        <w:rPr>
          <w:rFonts w:hint="eastAsia" w:ascii="方正小标宋简体" w:hAnsi="方正小标宋简体" w:eastAsia="方正小标宋简体" w:cs="方正小标宋简体"/>
          <w:kern w:val="0"/>
          <w:sz w:val="44"/>
          <w:szCs w:val="44"/>
          <w:lang w:bidi="ar"/>
        </w:rPr>
        <w:t>类</w:t>
      </w:r>
      <w:r>
        <w:rPr>
          <w:rFonts w:hint="eastAsia" w:ascii="方正小标宋简体" w:hAnsi="方正小标宋简体" w:eastAsia="方正小标宋简体" w:cs="方正小标宋简体"/>
          <w:kern w:val="0"/>
          <w:sz w:val="44"/>
          <w:szCs w:val="44"/>
          <w:lang w:val="en-US" w:eastAsia="zh-CN" w:bidi="ar"/>
        </w:rPr>
        <w:t>通用型</w:t>
      </w:r>
      <w:r>
        <w:rPr>
          <w:rFonts w:hint="eastAsia" w:ascii="方正小标宋简体" w:hAnsi="方正小标宋简体" w:eastAsia="方正小标宋简体" w:cs="方正小标宋简体"/>
          <w:kern w:val="0"/>
          <w:sz w:val="44"/>
          <w:szCs w:val="44"/>
          <w:lang w:bidi="ar"/>
        </w:rPr>
        <w:t>医疗服务项目价格表</w:t>
      </w:r>
    </w:p>
    <w:tbl>
      <w:tblPr>
        <w:tblStyle w:val="4"/>
        <w:tblW w:w="15398" w:type="dxa"/>
        <w:jc w:val="center"/>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
      <w:tblGrid>
        <w:gridCol w:w="438"/>
        <w:gridCol w:w="1631"/>
        <w:gridCol w:w="1455"/>
        <w:gridCol w:w="2098"/>
        <w:gridCol w:w="1980"/>
        <w:gridCol w:w="735"/>
        <w:gridCol w:w="420"/>
        <w:gridCol w:w="555"/>
        <w:gridCol w:w="1875"/>
        <w:gridCol w:w="720"/>
        <w:gridCol w:w="765"/>
        <w:gridCol w:w="765"/>
        <w:gridCol w:w="720"/>
        <w:gridCol w:w="615"/>
        <w:gridCol w:w="626"/>
      </w:tblGrid>
      <w:tr w14:paraId="26C48EB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C51896">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469732">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项目编码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D9A41F">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项目名称</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2DE235">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服务产出</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57C1C3">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A33D59">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A831DF">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398676">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A487BF">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71914D36">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D2C8B1C">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B4328FB">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9F147E7">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14D866">
            <w:pPr>
              <w:widowControl/>
              <w:spacing w:line="240" w:lineRule="exact"/>
              <w:jc w:val="center"/>
              <w:textAlignment w:val="center"/>
              <w:rPr>
                <w:rStyle w:val="6"/>
                <w:rFonts w:ascii="宋体" w:hAnsi="宋体"/>
                <w:color w:val="auto"/>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3E36B8">
            <w:pPr>
              <w:widowControl/>
              <w:jc w:val="center"/>
              <w:textAlignment w:val="center"/>
              <w:rPr>
                <w:rFonts w:hint="eastAsia" w:ascii="宋体" w:hAnsi="宋体" w:cs="宋体"/>
                <w:b/>
                <w:bCs/>
                <w:kern w:val="0"/>
                <w:sz w:val="20"/>
                <w:szCs w:val="20"/>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D04F778">
            <w:pPr>
              <w:widowControl/>
              <w:jc w:val="center"/>
              <w:textAlignment w:val="center"/>
              <w:rPr>
                <w:rFonts w:hint="eastAsia" w:ascii="宋体" w:hAnsi="宋体" w:cs="宋体"/>
                <w:b/>
                <w:bCs/>
                <w:kern w:val="0"/>
                <w:sz w:val="20"/>
                <w:szCs w:val="20"/>
              </w:rPr>
            </w:pPr>
            <w:r>
              <w:rPr>
                <w:rFonts w:hint="eastAsia" w:ascii="宋体" w:hAnsi="宋体" w:cs="宋体"/>
                <w:b/>
                <w:bCs/>
                <w:kern w:val="0"/>
                <w:sz w:val="20"/>
                <w:szCs w:val="20"/>
                <w:lang w:bidi="ar"/>
              </w:rPr>
              <w:t>自付比例</w:t>
            </w:r>
          </w:p>
        </w:tc>
      </w:tr>
      <w:tr w14:paraId="75EA6BE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1"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741C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19D6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011102020030000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C1E4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门诊诊查费（药学门诊）</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6A33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指卫生主管部门认定具有药学门诊资质的临床药师，提供技术劳务的门诊药学/中药学服务，包含为患者提供从药学/中药学咨询到用药指导，制定用药方案的药学服务。</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6F98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所定价格涵盖核实信息、药学咨询、评估用药情况、开展药学指导、制定用药方案、干预或提出药物重整建议、建立药历等所需的人力资源和基本物质资源消耗。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EC13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01副主任（中）药师加收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02主任（中）药师加收</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61220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CF62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6935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1.本项目的药学服务涵盖西药、中药及民族药。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2.一般诊疗费已包含药事服务成本，基层医疗机构收取一般诊疗费时，不得同时收取“门诊诊查费（药学门诊）”。</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809B7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4F2F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DC455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BE12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7.2</w:t>
            </w:r>
          </w:p>
        </w:tc>
        <w:tc>
          <w:tcPr>
            <w:tcW w:w="615" w:type="dxa"/>
            <w:tcBorders>
              <w:top w:val="single" w:color="000000" w:sz="4" w:space="0"/>
              <w:left w:val="single" w:color="auto" w:sz="4" w:space="0"/>
              <w:bottom w:val="single" w:color="auto" w:sz="4" w:space="0"/>
              <w:right w:val="single" w:color="000000" w:sz="4" w:space="0"/>
            </w:tcBorders>
            <w:noWrap w:val="0"/>
            <w:tcMar>
              <w:left w:w="57" w:type="dxa"/>
              <w:right w:w="57" w:type="dxa"/>
            </w:tcMar>
            <w:vAlign w:val="center"/>
          </w:tcPr>
          <w:p w14:paraId="0503C0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auto" w:sz="4" w:space="0"/>
              <w:right w:val="single" w:color="000000" w:sz="4" w:space="0"/>
            </w:tcBorders>
            <w:noWrap w:val="0"/>
            <w:tcMar>
              <w:left w:w="57" w:type="dxa"/>
              <w:right w:w="57" w:type="dxa"/>
            </w:tcMar>
            <w:vAlign w:val="center"/>
          </w:tcPr>
          <w:p w14:paraId="049966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r w14:paraId="1F09311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31"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B115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AF57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011102020030001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4A9E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门诊诊查费（药学门诊）-副主任（中）药师（加收）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37B2B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CCD8C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36A8C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B2401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C4DEB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35315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38FF1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766D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3B8AE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D97B8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615" w:type="dxa"/>
            <w:tcBorders>
              <w:top w:val="single" w:color="000000" w:sz="4" w:space="0"/>
              <w:left w:val="single" w:color="auto" w:sz="4" w:space="0"/>
              <w:bottom w:val="single" w:color="auto" w:sz="4" w:space="0"/>
              <w:right w:val="single" w:color="000000" w:sz="4" w:space="0"/>
            </w:tcBorders>
            <w:noWrap w:val="0"/>
            <w:tcMar>
              <w:left w:w="57" w:type="dxa"/>
              <w:right w:w="57" w:type="dxa"/>
            </w:tcMar>
            <w:vAlign w:val="center"/>
          </w:tcPr>
          <w:p w14:paraId="17170B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auto" w:sz="4" w:space="0"/>
              <w:right w:val="single" w:color="000000" w:sz="4" w:space="0"/>
            </w:tcBorders>
            <w:noWrap w:val="0"/>
            <w:tcMar>
              <w:left w:w="57" w:type="dxa"/>
              <w:right w:w="57" w:type="dxa"/>
            </w:tcMar>
            <w:vAlign w:val="center"/>
          </w:tcPr>
          <w:p w14:paraId="4C1386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r w14:paraId="0B89E75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255"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ED1D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F0CD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011102020030002</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642D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门诊诊查费（药学门诊）-主任（中）药师（加收）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D205B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DF5AF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03777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E02B5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2D42A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EBA9E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6FDB1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ACDD1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68A5C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75CE3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w:t>
            </w:r>
          </w:p>
        </w:tc>
        <w:tc>
          <w:tcPr>
            <w:tcW w:w="61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CE53B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EE310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r w14:paraId="283C19B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50"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B4C4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5BEE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011102030020000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66E4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住院诊查费（临床药学）</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EB77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指医疗机构在患者住院期间提供药学综合服务，并由临床药师结合患者病情和用药情况，参与临床医师住院巡诊，协同制定个体化药物治疗方案，并进行用药监护和用药安全指导的药学服务。</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4E1A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所定价格涵盖参与住院巡诊、协同制定个体化药物治疗方案、疗效观察、药物不良反应监测、安全用药指导、干预或提出药物重整等建议、建立药历等所需的人力资源和基本物质资源消耗。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C905A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7C413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4161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日</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9D8B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1.符合规定资质的临床药师参与临床医师住院巡诊，按照每日12元收取；住院天数≤30天的，收取费用不高于60元；住院天数＞30 天的，每30天（含）收费不超过60元，总收费最高不超过150元。2.重症监护室患者，按实际服务天数计收。3.家庭病床暂不执行加收政策。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0A6BB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0EA2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A167B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63A35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8.8</w:t>
            </w:r>
          </w:p>
        </w:tc>
        <w:tc>
          <w:tcPr>
            <w:tcW w:w="61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01BB3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76F73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6906551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57"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464E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C989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011400000010000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6810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居家药学服务费</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1A24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指医疗机构派出药师为居家药物治疗的患者提供用药评估指导、家庭药箱管理等药学服务。</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A53B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所定价格涵盖上门提供药学咨询、评估用药情况、开展药学指导、制定用药方案、干预或提出药物重整建议、药箱整理等步骤所需的人力资源和基本物质资源消耗。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E1CD2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507E8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6C7B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2230C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1.医疗机构上门提供居家药学服务的，按照上门提供医疗服务的收费政策，同样采取“居家药学服务费+上门服务费”的方式收费。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2.居家药学服务已合并计入家庭医生签约服务的，不得重复收取费用。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8DDC4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0F83D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D11D6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587C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w:t>
            </w:r>
          </w:p>
        </w:tc>
        <w:tc>
          <w:tcPr>
            <w:tcW w:w="61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1136A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E032A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r w14:paraId="4748B5C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97"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E567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91EF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011400000050000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9044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中药临方加工费</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C7AB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根据处方要求，将中药饮片制备成符合临床要求、便于服用的特定剂型。</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7519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所定价格涵盖信息核对、处方审核、中药制备、剂量分装、粘贴标签、清点核对等步骤所需的人力资源和基本物质资源消耗。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D3332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0D535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57A0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每百克</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AA116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1.本项目所称的“特定剂型”包括但不限于膏剂、合剂、胶囊剂、片剂、丸剂、酒剂、散剂、颗粒剂等行业主管部门准许医疗机构自行制备的中药剂型。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2.计价单位“每百克”以处方的中药饮片重量计，不含赋形剂重量。不足百克按百克计算。3.合剂与散剂按50%计价。</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C07F8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F917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A6214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6556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w:t>
            </w:r>
          </w:p>
        </w:tc>
        <w:tc>
          <w:tcPr>
            <w:tcW w:w="61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6C875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51649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r w14:paraId="0528DCF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95"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03A0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BDA3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011400000060000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7D64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中药代煎服务费</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6C60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通过浸泡、煎煮等各种方式，将中药饮片加工成可直接服用的药液独立包装。</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77262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所定价格涵盖信息核对、处方审核、煎煮、合并、分装、粘贴标签、清点核对等步骤所需的人力资源和基本物质资源消耗。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45973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7FA33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0F70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付</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4C5E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每付包含2袋。</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17709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7F34C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A54BC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E37A1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w:t>
            </w:r>
          </w:p>
        </w:tc>
        <w:tc>
          <w:tcPr>
            <w:tcW w:w="615"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7AB35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E62EC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r w14:paraId="32D529D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5"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E309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D42A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011400000070000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86FD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中药配方颗粒调剂费</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1BAB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根据处方要求，将多味中药配方颗粒进行调剂，制成供直接冲泡服用的包装。</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77B4E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所定价格涵盖信息核对、处方审核、逐味调剂、包装、粘贴标签、清点核对等步骤所需的人力资源和基本物质资源消耗。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086ED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8FCDD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932D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付</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6995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中药配方颗粒实行零加成政策后，可收取此项费用。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34BD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3004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43014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5CB5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w:t>
            </w:r>
          </w:p>
        </w:tc>
        <w:tc>
          <w:tcPr>
            <w:tcW w:w="615" w:type="dxa"/>
            <w:tcBorders>
              <w:top w:val="single" w:color="auto" w:sz="4" w:space="0"/>
              <w:left w:val="single" w:color="auto" w:sz="4" w:space="0"/>
              <w:bottom w:val="single" w:color="000000" w:sz="4" w:space="0"/>
              <w:right w:val="single" w:color="000000" w:sz="4" w:space="0"/>
            </w:tcBorders>
            <w:noWrap w:val="0"/>
            <w:tcMar>
              <w:left w:w="57" w:type="dxa"/>
              <w:right w:w="57" w:type="dxa"/>
            </w:tcMar>
            <w:vAlign w:val="center"/>
          </w:tcPr>
          <w:p w14:paraId="0EBEC5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auto" w:sz="4" w:space="0"/>
              <w:left w:val="single" w:color="auto" w:sz="4" w:space="0"/>
              <w:bottom w:val="single" w:color="000000" w:sz="4" w:space="0"/>
              <w:right w:val="single" w:color="000000" w:sz="4" w:space="0"/>
            </w:tcBorders>
            <w:noWrap w:val="0"/>
            <w:tcMar>
              <w:left w:w="57" w:type="dxa"/>
              <w:right w:w="57" w:type="dxa"/>
            </w:tcMar>
            <w:vAlign w:val="center"/>
          </w:tcPr>
          <w:p w14:paraId="4382B6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bl>
    <w:p w14:paraId="55222620">
      <w:pPr>
        <w:pStyle w:val="3"/>
        <w:widowControl/>
        <w:wordWrap w:val="0"/>
        <w:spacing w:before="156" w:beforeLines="50" w:beforeAutospacing="0" w:afterAutospacing="0" w:line="320" w:lineRule="exact"/>
        <w:rPr>
          <w:rFonts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使用说明：</w:t>
      </w:r>
    </w:p>
    <w:p w14:paraId="2103D53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1.本立项指南以药学类服务为重点，覆盖相关常用药学类服务价格项目。基于价格项目归类考虑，本立项指南优化调整了门诊诊查费（药学门诊）和住院诊查费（临床药学）的分类，此前发布的综合诊查类立项指南有关计价收费要求与本立项指南不一致的，以本立项指南为准。</w:t>
      </w:r>
    </w:p>
    <w:p w14:paraId="6766E9B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2.根据《深化医疗服务价格改革试点方案》（医保发〔2021〕41号）关于“厘清价格项目与临床诊疗技术规范、医疗机构成本要素、不同应用场景和收费标准等的政策边界。分类整合现行价格项目，实现价格项目与操作步骤、诊疗部位等技术细节脱钩，增强现行价格项目对医疗技术和医疗活动改良创新的兼容性”的要求，服务产出相同的一类项目在操作层面存在差异，但在价格项目和定价水平层面具备合并同类项的条件，立项指南对此进行合并。各地医疗保障部门所定价格属于政府指导价为最高限价，下浮不限。医疗机构的医疗技术创新改良，申报新增医疗服务价格项目的，采取“现有项目兼容”的方式简化处理，按照对应的立项指南项目执行。</w:t>
      </w:r>
    </w:p>
    <w:p w14:paraId="72841FC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3.本立项指南所称“价格构成”，指项目价格应涵盖的各类资源消耗，用于确定计价单元的边界，是省市级医保部门制定调整项目价格的测算因子，不应作为临床技术标准理解，不是实际操作方式、路径、步骤、程序的强制性要求，价格构成中包含但临床实践中非必要、未发生的，无需强制要求公立医疗机构减计费用。所列“设备投入”包括但不限于操作设备、器具及固定资产投入。</w:t>
      </w:r>
    </w:p>
    <w:p w14:paraId="24AC722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4.本立项指南所称“加收项”，指同一项目以不同方式提供或在不同场景应用时，确有必要制定差异化收费标准而细分的一类子项，包括在原项目价格基础上增加或减少收费的情况，具体的加/减收标准（加/减收率或加/减收金额）由省市级医疗保障部门依权限制定；实际应用中，同时涉及多个加收项的，以项目单价为基础计算相应的加/减收水平后，据实收费。</w:t>
      </w:r>
    </w:p>
    <w:p w14:paraId="6F0609A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5.本立项指南所称“扩展项”，指同一项目下以不同方式提供或在不同场景应用时，只扩展价格项目适用范围、不额外加价的一类子项，子项的价格按主项目执行。</w:t>
      </w:r>
    </w:p>
    <w:p w14:paraId="332849A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6. 本立项指南中所称“基本物质资源消耗”，指原则上限于不应或不必要与医疗服务项目分割的易耗品，包括但不限于各类消杀灭菌用品、储存用品、清洁用品、个人防护用品、垃圾处理用品、滑石粉、标签、中单、护（尿）垫、棉球、棉签、纱布（垫）、治疗护理盘（包）、治疗巾（单）、手术巾（单）、手术包、注射器、试剂（含固定液等辅助试剂）、可复用的操作器具等。基本物质资源消耗成本计入项目价格，不另行收费。除基本物质资源消耗以外的其他耗材，立项指南落地前价格项目除外内容的可收费医用耗材，按照实际采购价格零差率销售另行收费。</w:t>
      </w:r>
    </w:p>
    <w:p w14:paraId="3566414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黑体" w:hAnsi="黑体" w:eastAsia="黑体" w:cs="仿宋_GB2312"/>
          <w:kern w:val="0"/>
          <w:sz w:val="32"/>
          <w:szCs w:val="32"/>
        </w:rPr>
      </w:pPr>
      <w:r>
        <w:rPr>
          <w:rFonts w:hint="eastAsia" w:ascii="仿宋_GB2312" w:hAnsi="仿宋_GB2312" w:eastAsia="仿宋_GB2312" w:cs="仿宋_GB2312"/>
          <w:sz w:val="28"/>
          <w:szCs w:val="28"/>
          <w:shd w:val="clear" w:color="auto" w:fill="FFFFFF"/>
        </w:rPr>
        <w:t>7.药敏检验、基因检测等与用药指导相关的医疗服务价格项目在病理类和检验类立项指南中另行规定。</w:t>
      </w:r>
    </w:p>
    <w:p w14:paraId="2B121D66">
      <w:bookmarkStart w:id="0" w:name="_GoBack"/>
      <w:bookmarkEnd w:id="0"/>
    </w:p>
    <w:sectPr>
      <w:pgSz w:w="16838" w:h="11906" w:orient="landscape"/>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11705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6">
    <w:name w:val="font71"/>
    <w:qFormat/>
    <w:uiPriority w:val="0"/>
    <w:rPr>
      <w:rFonts w:hint="default" w:ascii="Times New Roman" w:hAnsi="Times New Roman" w:cs="Times New Roman"/>
      <w:b/>
      <w:bCs/>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2026-08-10T00:34:29Z</dcterms:created>
  <dc:creator>Administrator</dc:creator>
  <cp:lastModifiedBy>旋子！</cp:lastModifiedBy>
  <dcterms:modified xsi:type="dcterms:W3CDTF">2026-08-10T00:34:48Z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eyJoZGlkIjoiMmIwMTI4NjAyZmE1ZGZkYzExMDNmYWFiZTMzYjdmNjciLCJ1c2VySWQiOiI0NTcwMDExODYifQ==</vt:lpwstr>
  </property>
  <property fmtid="{D5CDD505-2E9C-101B-9397-08002B2CF9AE}" pid="4" name="ICV">
    <vt:lpwstr>4AF040B43B9D48BCAF16AB65721B6BC8_12</vt:lpwstr>
  </property>
</Properties>
</file>