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35C1">
      <w:pPr>
        <w:spacing w:line="360" w:lineRule="exact"/>
        <w:rPr>
          <w:rFonts w:ascii="方正小标宋简体" w:hAnsi="方正小标宋简体" w:eastAsia="黑体" w:cs="方正小标宋简体"/>
          <w:kern w:val="0"/>
          <w:sz w:val="32"/>
          <w:szCs w:val="32"/>
          <w:lang w:bidi="ar"/>
        </w:rPr>
      </w:pPr>
      <w:r>
        <w:rPr>
          <w:rFonts w:hint="eastAsia" w:ascii="黑体" w:hAnsi="宋体" w:eastAsia="黑体" w:cs="黑体"/>
          <w:kern w:val="0"/>
          <w:sz w:val="32"/>
          <w:szCs w:val="32"/>
          <w:lang w:bidi="ar"/>
        </w:rPr>
        <w:t>附件1</w:t>
      </w:r>
    </w:p>
    <w:p w14:paraId="41E872E1">
      <w:pPr>
        <w:spacing w:after="156" w:afterLines="50" w:line="600" w:lineRule="exact"/>
        <w:jc w:val="center"/>
        <w:rPr>
          <w:rFonts w:ascii="仿宋_GB2312" w:hAnsi="仿宋_GB2312" w:eastAsia="仿宋_GB2312" w:cs="仿宋_GB2312"/>
          <w:sz w:val="28"/>
          <w:szCs w:val="28"/>
        </w:rPr>
      </w:pPr>
      <w:r>
        <w:rPr>
          <w:rFonts w:hint="eastAsia" w:ascii="方正小标宋简体" w:hAnsi="方正小标宋简体" w:eastAsia="方正小标宋简体" w:cs="方正小标宋简体"/>
          <w:kern w:val="0"/>
          <w:sz w:val="44"/>
          <w:szCs w:val="44"/>
          <w:lang w:bidi="ar"/>
        </w:rPr>
        <w:t>常德市</w:t>
      </w:r>
      <w:r>
        <w:rPr>
          <w:rFonts w:hint="eastAsia" w:ascii="方正小标宋简体" w:hAnsi="方正小标宋简体" w:eastAsia="方正小标宋简体" w:cs="方正小标宋简体"/>
          <w:kern w:val="0"/>
          <w:sz w:val="44"/>
          <w:szCs w:val="44"/>
          <w:lang w:val="en-US" w:eastAsia="zh-CN" w:bidi="ar"/>
        </w:rPr>
        <w:t>手术和治疗辅助操作</w:t>
      </w:r>
      <w:r>
        <w:rPr>
          <w:rFonts w:hint="eastAsia" w:ascii="方正小标宋简体" w:hAnsi="方正小标宋简体" w:eastAsia="方正小标宋简体" w:cs="方正小标宋简体"/>
          <w:kern w:val="0"/>
          <w:sz w:val="44"/>
          <w:szCs w:val="44"/>
          <w:lang w:bidi="ar"/>
        </w:rPr>
        <w:t>类医疗服务项目价格表</w:t>
      </w:r>
    </w:p>
    <w:tbl>
      <w:tblPr>
        <w:tblStyle w:val="4"/>
        <w:tblW w:w="15398" w:type="dxa"/>
        <w:jc w:val="center"/>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
      <w:tblGrid>
        <w:gridCol w:w="438"/>
        <w:gridCol w:w="1631"/>
        <w:gridCol w:w="1455"/>
        <w:gridCol w:w="2098"/>
        <w:gridCol w:w="1980"/>
        <w:gridCol w:w="735"/>
        <w:gridCol w:w="420"/>
        <w:gridCol w:w="555"/>
        <w:gridCol w:w="1875"/>
        <w:gridCol w:w="720"/>
        <w:gridCol w:w="765"/>
        <w:gridCol w:w="765"/>
        <w:gridCol w:w="720"/>
        <w:gridCol w:w="615"/>
        <w:gridCol w:w="626"/>
      </w:tblGrid>
      <w:tr w14:paraId="6B24ED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50" w:hRule="atLeast"/>
          <w:tblHeader/>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164857">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序号</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92444B">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4B80A">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项目名称</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107CA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服务产出</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3A65FD">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价格构成</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F30519">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加收项</w:t>
            </w: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B48A928">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扩展项</w:t>
            </w: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676D644">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计价单位</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90B288">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计价</w:t>
            </w:r>
          </w:p>
          <w:p w14:paraId="48C3FD0E">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说明</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0597E41">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市一类价格（元）</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ABF839E">
            <w:pPr>
              <w:widowControl/>
              <w:spacing w:line="240" w:lineRule="exact"/>
              <w:jc w:val="center"/>
              <w:textAlignment w:val="center"/>
              <w:rPr>
                <w:rFonts w:ascii="宋体" w:hAnsi="宋体" w:cs="宋体"/>
                <w:b/>
                <w:bCs/>
                <w:kern w:val="0"/>
                <w:sz w:val="20"/>
                <w:szCs w:val="20"/>
              </w:rPr>
            </w:pPr>
            <w:r>
              <w:rPr>
                <w:rFonts w:hint="eastAsia" w:ascii="宋体" w:hAnsi="宋体" w:cs="宋体"/>
                <w:b/>
                <w:bCs/>
                <w:kern w:val="0"/>
                <w:sz w:val="20"/>
                <w:szCs w:val="20"/>
              </w:rPr>
              <w:t>市二类价格（元）</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D450BBB">
            <w:pPr>
              <w:widowControl/>
              <w:spacing w:line="240" w:lineRule="exact"/>
              <w:jc w:val="center"/>
              <w:textAlignment w:val="center"/>
              <w:rPr>
                <w:rFonts w:ascii="宋体" w:hAnsi="宋体" w:cs="宋体"/>
                <w:b/>
                <w:bCs/>
                <w:sz w:val="20"/>
                <w:szCs w:val="20"/>
              </w:rPr>
            </w:pPr>
            <w:r>
              <w:rPr>
                <w:rFonts w:hint="eastAsia" w:ascii="宋体" w:hAnsi="宋体" w:cs="宋体"/>
                <w:b/>
                <w:bCs/>
                <w:kern w:val="0"/>
                <w:sz w:val="20"/>
                <w:szCs w:val="20"/>
              </w:rPr>
              <w:t>市三类价格（元）</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EBB5391">
            <w:pPr>
              <w:widowControl/>
              <w:spacing w:line="240" w:lineRule="exact"/>
              <w:jc w:val="center"/>
              <w:textAlignment w:val="center"/>
              <w:rPr>
                <w:rStyle w:val="6"/>
                <w:rFonts w:ascii="宋体" w:hAnsi="宋体"/>
                <w:color w:val="auto"/>
                <w:sz w:val="20"/>
                <w:szCs w:val="20"/>
              </w:rPr>
            </w:pPr>
            <w:r>
              <w:rPr>
                <w:rFonts w:hint="eastAsia" w:ascii="宋体" w:hAnsi="宋体" w:cs="宋体"/>
                <w:b/>
                <w:bCs/>
                <w:kern w:val="0"/>
                <w:sz w:val="20"/>
                <w:szCs w:val="20"/>
              </w:rPr>
              <w:t>市基层价格（元）</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A260C5">
            <w:pPr>
              <w:widowControl/>
              <w:jc w:val="center"/>
              <w:textAlignment w:val="center"/>
              <w:rPr>
                <w:rFonts w:hint="eastAsia" w:ascii="宋体" w:hAnsi="宋体" w:cs="宋体"/>
                <w:b/>
                <w:bCs/>
                <w:kern w:val="0"/>
                <w:sz w:val="20"/>
                <w:szCs w:val="20"/>
              </w:rPr>
            </w:pPr>
            <w:r>
              <w:rPr>
                <w:rFonts w:hint="eastAsia" w:ascii="宋体" w:hAnsi="宋体" w:cs="宋体"/>
                <w:b/>
                <w:bCs/>
                <w:kern w:val="0"/>
                <w:sz w:val="20"/>
                <w:szCs w:val="20"/>
                <w:lang w:bidi="ar"/>
              </w:rPr>
              <w:t>支付分类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0A24F7C">
            <w:pPr>
              <w:widowControl/>
              <w:jc w:val="center"/>
              <w:textAlignment w:val="center"/>
              <w:rPr>
                <w:rFonts w:hint="eastAsia" w:ascii="宋体" w:hAnsi="宋体" w:cs="宋体"/>
                <w:b/>
                <w:bCs/>
                <w:kern w:val="0"/>
                <w:sz w:val="20"/>
                <w:szCs w:val="20"/>
              </w:rPr>
            </w:pPr>
            <w:r>
              <w:rPr>
                <w:rFonts w:hint="eastAsia" w:ascii="宋体" w:hAnsi="宋体" w:cs="宋体"/>
                <w:b/>
                <w:bCs/>
                <w:kern w:val="0"/>
                <w:sz w:val="20"/>
                <w:szCs w:val="20"/>
                <w:lang w:bidi="ar"/>
              </w:rPr>
              <w:t>自付比例</w:t>
            </w:r>
          </w:p>
        </w:tc>
      </w:tr>
      <w:tr w14:paraId="554B8E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C39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9F3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017500000010000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40E7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eastAsia" w:ascii="宋体" w:hAnsi="宋体" w:eastAsia="宋体" w:cs="宋体"/>
                <w:color w:val="auto"/>
                <w:sz w:val="20"/>
                <w:szCs w:val="20"/>
                <w:lang w:bidi="ar"/>
              </w:rPr>
            </w:pPr>
            <w:r>
              <w:rPr>
                <w:rFonts w:hint="eastAsia" w:ascii="宋体" w:hAnsi="宋体" w:eastAsia="宋体" w:cs="宋体"/>
                <w:i w:val="0"/>
                <w:iCs w:val="0"/>
                <w:color w:val="000000"/>
                <w:kern w:val="0"/>
                <w:sz w:val="20"/>
                <w:szCs w:val="20"/>
                <w:u w:val="none"/>
                <w:lang w:val="en-US" w:eastAsia="zh-CN" w:bidi="ar"/>
              </w:rPr>
              <w:t>医学3D重建辅助操作费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4E3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通过数字技术、人工智能技术等将患者影像检查结果构建虚拟3D模型，满足术前规划、导板设计、手术预演、可植入假体制作等需要。</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FCC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所定价格涵盖计算软件或人工智能建模、协助医生提前预演手术操作并研判手术效果、数据处理与上传存储（含数字方式）等步骤所需的人力资源、设备运转成本与基本物质资源消耗。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9299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5EBDF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8DC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eastAsia" w:ascii="宋体" w:hAnsi="宋体" w:eastAsia="宋体" w:cs="宋体"/>
                <w:color w:val="auto"/>
                <w:sz w:val="20"/>
                <w:szCs w:val="20"/>
                <w:lang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1EF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1.医疗机构未上传医疗数据和设备运行记录的，应执行减收政策，减收标准100元。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2.口腔种植类的按“医学3D建模（口腔）”收费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8FEBD96">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252</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61B74F">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225</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682B492">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203</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B732902">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183</w:t>
            </w:r>
          </w:p>
        </w:tc>
        <w:tc>
          <w:tcPr>
            <w:tcW w:w="615"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6A998CC2">
            <w:pPr>
              <w:keepNext w:val="0"/>
              <w:keepLines w:val="0"/>
              <w:widowControl/>
              <w:suppressLineNumbers w:val="0"/>
              <w:jc w:val="center"/>
              <w:textAlignment w:val="center"/>
              <w:rPr>
                <w:rFonts w:hint="eastAsia" w:ascii="宋体" w:hAnsi="宋体" w:eastAsia="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23AF8974">
            <w:pPr>
              <w:keepNext w:val="0"/>
              <w:keepLines w:val="0"/>
              <w:widowControl/>
              <w:suppressLineNumbers w:val="0"/>
              <w:jc w:val="center"/>
              <w:textAlignment w:val="center"/>
              <w:rPr>
                <w:rFonts w:hint="eastAsia" w:ascii="宋体" w:hAnsi="宋体" w:eastAsia="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100%</w:t>
            </w:r>
          </w:p>
        </w:tc>
      </w:tr>
      <w:tr w14:paraId="01F3E70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8B1F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7024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017500000020000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CCA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医学3D模型打印辅助操作费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B71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通过增材制造技术将虚拟3D模型制备成仅具有病情诊断、手术规划功能的实体模型。</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44E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所定价格涵盖模型接收、材料准备、3D打印、实时监控、取出、去除支撑、固化、表面处理等步骤所需的人力资源、设备运转成本、物料消耗与基本物质资源消耗。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D9AA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D4D31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A8B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AEF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口腔种植类的按“医学3D模型打印（口腔）”收费；不得同时收取手术规划辅助器具、导板、导航材料等相关耗材。</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5F5676">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405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2F86A2">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360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F5A63C0">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324</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5B87549">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292</w:t>
            </w:r>
          </w:p>
        </w:tc>
        <w:tc>
          <w:tcPr>
            <w:tcW w:w="615"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369868A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017BAE4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21CB39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F5F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16A0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017500000030000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655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医学3D导板打印辅助操作费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B37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通过增材制造技术将虚拟3D模型制备成作用于手术部位、确保手术器械或植（介）入物精准到达预定位置的实物模板。</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9CF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所定价格涵盖模型接收、材料准备、3D打印、实时监控、取出、去除支撑、固化、表面处理等步骤所需的人力资源、设备运转成本、物料消耗与基本物质资源消耗。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496F4A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4046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F6D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5D7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口腔种植类的按“医学3D导板打印（口腔）“收费；不得同时收取手术规划辅助器具、导板、导航材料等相关耗材。</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DBCD421">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1350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291ED0B">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1170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5196C56">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936</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2157C0">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842</w:t>
            </w:r>
          </w:p>
        </w:tc>
        <w:tc>
          <w:tcPr>
            <w:tcW w:w="615"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424FF7EE">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4CE2435C">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404F15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BA0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442A8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017500000040000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8C8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生物3D打印（组织）辅助操作费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ABDD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通过生物打印技术将3D模型制作成用于治疗或辅助治疗的仿生生物组织。</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1DA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所定价格涵盖模型接收、材料准备、3D打印、实时监控、取出等步骤所需的人力资源、设备运转成本、物料消耗与基本物质资源消耗。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0701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6706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B9D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6A5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1.不得同时收取相应部位人工组织\人工生物组织等相关耗材。2.每增加1件按60%叠加计价，多件累计一类价格封顶7488元、二类价格封顶6552元、三类价格封顶5616元、基层价格封顶5054元。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091258C">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1440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C9CCD1">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1260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0ED3321">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1080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4DDD11">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972</w:t>
            </w:r>
          </w:p>
        </w:tc>
        <w:tc>
          <w:tcPr>
            <w:tcW w:w="615"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5F1552F0">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23637248">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35FDDC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0F8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F16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017500000050000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682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生物3D打印（血管）辅助操作费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B51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通过生物打印技术将3D模型制作成用于治疗或辅助治疗的仿生生物血管。</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FFF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所定价格涵盖模型接收、材料准备、3D打印、实时监控、取出等步骤所需的人力资源、设备运转成本、物料消耗与基本物质资源消耗。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D84BD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88BC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6C60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4420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不得同时收取相应部位人工血管、人工生物血管等相关耗材。</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C2CEB06">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6300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71E1F5">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5040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78445A4">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4500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F089D0">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4050</w:t>
            </w:r>
          </w:p>
        </w:tc>
        <w:tc>
          <w:tcPr>
            <w:tcW w:w="615"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22A02083">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auto" w:sz="4" w:space="0"/>
              <w:left w:val="single" w:color="auto" w:sz="4" w:space="0"/>
              <w:bottom w:val="single" w:color="000000" w:sz="4" w:space="0"/>
              <w:right w:val="single" w:color="000000" w:sz="4" w:space="0"/>
            </w:tcBorders>
            <w:noWrap w:val="0"/>
            <w:tcMar>
              <w:left w:w="57" w:type="dxa"/>
              <w:right w:w="57" w:type="dxa"/>
            </w:tcMar>
            <w:vAlign w:val="center"/>
          </w:tcPr>
          <w:p w14:paraId="16F18CC7">
            <w:pPr>
              <w:keepNext w:val="0"/>
              <w:keepLines w:val="0"/>
              <w:widowControl/>
              <w:suppressLineNumbers w:val="0"/>
              <w:jc w:val="center"/>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751EDA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33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890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6</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99E5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017500000060000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8DC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生物3D打印（器官）辅助操作费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C05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通过生物打印技术将3D模型制作成用于治疗或辅助治疗的仿生生物器官。</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170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所定价格涵盖模型接收、材料准备、3D打印、实时监控、取出等步骤所需的人力资源、设备运转成本、物料消耗与基本物质资源消耗。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13104A">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AE7300">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252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30B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1.不得同时收取相应部位人工器官、人工生物器官等相关耗材。2.待产品获批上市后，执行市场调节价一段时间再制定政府指导价。</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EB57510">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市场调节价</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E5B8AF">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市场调节价</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1AFC800">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市场调节价</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853774F">
            <w:pPr>
              <w:keepNext w:val="0"/>
              <w:keepLines w:val="0"/>
              <w:widowControl/>
              <w:suppressLineNumbers w:val="0"/>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市场调节价</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613397">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216B551">
            <w:pPr>
              <w:keepNext w:val="0"/>
              <w:keepLines w:val="0"/>
              <w:widowControl/>
              <w:suppressLineNumbers w:val="0"/>
              <w:jc w:val="center"/>
              <w:textAlignment w:val="center"/>
              <w:rPr>
                <w:rFonts w:hint="eastAsia" w:ascii="宋体" w:hAnsi="宋体" w:cs="宋体"/>
                <w:kern w:val="0"/>
                <w:sz w:val="20"/>
                <w:szCs w:val="20"/>
                <w:lang w:bidi="ar"/>
              </w:rPr>
            </w:pPr>
            <w:r>
              <w:rPr>
                <w:rFonts w:hint="eastAsia" w:ascii="宋体" w:hAnsi="宋体" w:eastAsia="宋体" w:cs="宋体"/>
                <w:i w:val="0"/>
                <w:iCs w:val="0"/>
                <w:color w:val="000000"/>
                <w:kern w:val="0"/>
                <w:sz w:val="20"/>
                <w:szCs w:val="20"/>
                <w:u w:val="none"/>
                <w:lang w:val="en-US" w:eastAsia="zh-CN" w:bidi="ar"/>
              </w:rPr>
              <w:t>100%</w:t>
            </w:r>
          </w:p>
        </w:tc>
      </w:tr>
      <w:tr w14:paraId="1A4E87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3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C4E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8DE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017300000010000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C71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示踪辅助操作费（阴性显示）</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68F1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通过各种方式引入示踪品，降低目标区域的信号强度，确定病变位置和范围。</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B8D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所定价格涵盖消毒、引入示踪品、识别目标区域、处理用物等步骤所需的人力资源、设备运转成本与基本物质资源消耗。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D5E6EA">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0A851B">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70AF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B80A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547D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E2490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198DC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FEA91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855F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755C8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E3F29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65"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D9D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22D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017300000020000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9B4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示踪辅助操作费（阳性显示）</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2910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通过各种方式引入示踪品，增强目标区域的信号强度，确定病变位置和范围。</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965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所定价格涵盖消毒、引入示踪品、识别目标区域、处理用物等步骤所需的人力资源、设备运转成本与基本物质资源消耗。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63F6B2">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E91549">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701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0A3E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F810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AB4BC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1B1FE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3B36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98785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3345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7616DF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5"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D09E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2E6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017100000010000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F61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术中显微成像辅助操作费</w:t>
            </w:r>
          </w:p>
        </w:tc>
        <w:tc>
          <w:tcPr>
            <w:tcW w:w="20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147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通过光学和成像等系统，术中放大细微结构或病灶组织，辅助完成手术。</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A67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所定价格涵盖设备准备、辅助显示、撤除、处理用物等步骤所需的人力资源、设备运转成本与基本物质资源消耗。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A54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01术中扫频光学相干断层扫描成像辅助操作</w:t>
            </w: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21AFD2">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AFD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49D5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仅提供照明、直接放大成像功能的通用型显微设备，纳入眼科、耳鼻喉、口腔等相关医疗服务价格项目价格构成，不再收取“术中显微成像辅助操作费”。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3D58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607A3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78B13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297</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75B18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267</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49E30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1BED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427033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5"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7F1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9FB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017100000010001</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808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术中显微成像辅助操作费-术中扫频光学相干断层扫描成像辅助操作（加收20%）</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EB11A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83FB8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FE2264">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E253E9">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1A71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F0DA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CAC65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EFF9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DB0A0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8D1E0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053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5972B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38F313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15"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6B13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C50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017100000020000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F48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术中立体成像辅助操作费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273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通过立体成像功能，以虚拟现实、混合现实等各类方式还原视野的立体纵深感，术中为手术提供可视化、沉浸式的立体光影像支持，辅助完成手术。</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320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所定价格涵盖设备准备、连接、设备调试、辅助显示、撤除、处理用物等步骤所需的人力资源、设备运转成本与基本物质资源消耗。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AD5644">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FFAABF">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526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AF17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3E557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612</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798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549</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875D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66DBF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446</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FAC9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F692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6118E6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5307F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D63AF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017400000020000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098AF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手术路径导航辅助操作费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A81BAF">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通过融合医学影像、计算机定位追踪及实时反馈等技术，术中实时显示手术路径、靶点，并提供必要的操作指导。</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F4DFD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所定价格涵盖设备准备、图像采集、传输、调节、定位、实时成像、引导、处理用物、数据处理与上传存储（含数字方式）等步骤所需的人力资源、设备运转成本与基本物质资源消耗。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3920D6">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01D4DE">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B787C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1FBAD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1.本项目所称的“显示手术路径、靶点”，其显示方式包括虚拟现实、混合现实等各类立体成像。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2.医疗机构未上传医疗数据和设备运行记录的，应执行减收政策，减收标准100元。3.操作过程中不得同时叠加收取引导费用。</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DD46B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0BF0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ABCE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18E2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1215</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C643C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720C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077AF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56CAD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5B65B4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017100000030000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39D09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超声切割刀辅助操作费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EADF0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利用超声产生穿透或振动效应，实现切割组织、凝闭血管等操作，辅助完成手术或治疗。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FF077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所定价格涵盖设备准备、参数调试、切割、撤除、处理用物等步骤所需的人力资源、可复用刀具、设备运转成本与基本物质资源消耗。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D14261">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678307">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1FCE1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4C837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1.医疗机构使用一次性刀具的，按零差率销售，不得收取“超声切割刀辅助操作费”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BE05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82BD5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8EFB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BED5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8FA43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2DF43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3DF82F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FA53A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EA034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017100000040000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92F19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超声吸引刀辅助操作费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BF52E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通过超声产生空化作用，实现粉碎、吸出组织等操作，辅助完成手术或治疗。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AB57B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所定价格涵盖设备准备、参数调试、粉碎吸引、撤除、处理用物等步骤所需的人力资源、可复用刀具、设备运转成本与基本物质资源消耗。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8B40AD">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83CA461">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3B96B6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3DDBF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1.医疗机构使用一次性刀具的，按零差率销售，不得收取“超声吸引刀辅助操作费”。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695D1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1A99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246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95FB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25FF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9BCCC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B539A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FB077C">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C06E7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017100000050000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5B510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电刀辅助操作费</w:t>
            </w:r>
          </w:p>
        </w:tc>
        <w:tc>
          <w:tcPr>
            <w:tcW w:w="20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BDD48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通过电流产生热效应，实现切割、凝血等操作，辅助完成手术或治疗。</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5D34DA">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所定价格涵盖设备准备、参数调试、切割、凝血、撤除、处理用物等步骤所需的人力资源、可复用刀具、设备运转成本与基本物质资源消耗。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42910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01血管切割闭合系统辅助操作</w:t>
            </w: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E464F2">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13BBB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89B67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1.医疗机构使用一次性刀具的，按零差率销售，不得收取“电刀辅助操作费”。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011F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3939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E7E98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1305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91782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46BD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00FC32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F38F2F">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EBD74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437100000050001</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39BB87">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电刀辅助操作费-血管切割闭合系统辅助操作加收</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F9FE089">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D45F49">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D0C4A7">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E55DD5">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1886DC">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2B9977F">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D65B9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1CDF8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465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B873D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729</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85C3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1B109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630A7C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85225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40A56E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017100000060000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DBBFE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等离子刀辅助操作费</w:t>
            </w:r>
          </w:p>
        </w:tc>
        <w:tc>
          <w:tcPr>
            <w:tcW w:w="20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0EEFFA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通过电场激发产生等离子体，实现切割、凝固组织等操作，辅助完成手术或治疗。</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6908A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所定价格涵盖设备准备、参数调试、切割、凝固、撤除、处理用物等步骤所需的人力资源、可复用刀具、设备运转成本与基本物质资源消耗。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5E9CDA">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B01E8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01氩等离子刀</w:t>
            </w:r>
          </w:p>
        </w:tc>
        <w:tc>
          <w:tcPr>
            <w:tcW w:w="5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DE52FD4">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9D5031">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1.医疗机构使用一次性刀具的，按零差率销售，不得收取“等离子刀辅助操作费”。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FF4E8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2476E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87144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52731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6391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C74A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7ADCE6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843963">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794610">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017100000060100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9E09F48">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等离子刀辅助操作费-氩等离子刀（扩展）</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B4A67E">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C0426E">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A575E7">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FF7D90">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E408BC3">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EE18F2">
            <w:pPr>
              <w:keepNext w:val="0"/>
              <w:keepLines w:val="0"/>
              <w:pageBreakBefore w:val="0"/>
              <w:widowControl/>
              <w:kinsoku/>
              <w:wordWrap/>
              <w:overflowPunct/>
              <w:topLinePunct w:val="0"/>
              <w:autoSpaceDE/>
              <w:autoSpaceDN/>
              <w:bidi w:val="0"/>
              <w:adjustRightInd/>
              <w:snapToGrid/>
              <w:spacing w:line="230" w:lineRule="exact"/>
              <w:jc w:val="center"/>
              <w:rPr>
                <w:rFonts w:hint="eastAsia" w:ascii="宋体" w:hAnsi="宋体" w:eastAsia="宋体" w:cs="宋体"/>
                <w:i w:val="0"/>
                <w:iCs w:val="0"/>
                <w:color w:val="000000"/>
                <w:kern w:val="0"/>
                <w:sz w:val="20"/>
                <w:szCs w:val="20"/>
                <w:u w:val="none"/>
                <w:lang w:val="en-US" w:eastAsia="zh-CN" w:bidi="ar"/>
              </w:rPr>
            </w:pP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99F04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280EC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E22F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1C38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15B9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DD4D7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2B5FAE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2FE29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0D99E56">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017100000070000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654915">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电磁刀辅助操作费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34853C9">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通过电磁场产生涡流与热效应等，实现切割、烧灼或气化组织等操作，辅助完成手术或治疗。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3F8B8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所定价格涵盖设备准备、参数调试、切割、烧灼、撤除、处理用物等步骤所需的人力资源、可复用刀具、设备运转成本与基本物质资源消耗。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BFAA4C">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1BF7A5">
            <w:pPr>
              <w:keepNext w:val="0"/>
              <w:keepLines w:val="0"/>
              <w:pageBreakBefore w:val="0"/>
              <w:widowControl/>
              <w:kinsoku/>
              <w:wordWrap/>
              <w:overflowPunct/>
              <w:topLinePunct w:val="0"/>
              <w:autoSpaceDE/>
              <w:autoSpaceDN/>
              <w:bidi w:val="0"/>
              <w:adjustRightInd/>
              <w:snapToGrid/>
              <w:spacing w:line="23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6BE312">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ABCF08E">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1.医疗机构使用一次性刀具的，按零差率销售，不得收取“电磁刀辅助操作费”。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CF36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62EDC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96B5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585</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CB3B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527</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4C772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E4781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43C2E9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3A2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37AF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017100000080000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861B7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激光辅助操作费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05D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通过激光实现切割、凝固或气化组织等操作，辅助完成手术或治疗。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B56B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所定价格涵盖设备准备、参数调节、激光操作、撤除、处理用物等步骤所需的人力资源、可复用光纤、设备运转成本与基本物质资源消耗。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4ECFFD1">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440444">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12F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0F70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医疗机构使用一次性光纤的，按零差率销售，不得收取“激光辅助操作费”。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4FEF6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9AC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2B69F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DE7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EF703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9585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02F672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7C4D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CEF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017100000090000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41C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飞秒激光辅助操作费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F08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通过飞秒激光实现切割、凝固或气化组织等操作，辅助完成手术或治疗。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190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所定价格涵盖设备准备、参数调节、激光操作、撤除、处理用物等步骤所需的人力资源，以及配套耗材、设备运转成本与基本物质资源消耗。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102D7F">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5F99FDC">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CD4D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F6CF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用于辅助眼科手术时，单侧为1次</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2D9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2700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2667C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2430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4B4A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2187</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C7D65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1968</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A6A1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0FCB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7C19A6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DE8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CF8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017100000100000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E8DA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准分子激光辅助操作费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633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通过准分子激光实现切割、凝固或气化组织等操作，辅助完成手术或治疗。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3FD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所定价格涵盖设备准备、参数调节、激光操作、撤除、处理用物等步骤所需的人力资源，以及配套耗材、设备运转成本与基本物质资源消耗。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15AB69">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3E0D90">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5E9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07B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用于辅助眼科手术时，单侧为1次</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D80A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D5052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F5A3F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DC3E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25F62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7F697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3F54AAC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B18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954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017100000110000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AE6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射频辅助操作费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111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通过高频交流电产生热效应，实现组织坏死或气化等操作，辅助完成手术或治疗。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E03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所定价格涵盖设备准备、参数调节、射频操作、处理用物等步骤所需的人力资源、可复用刀具、设备运转成本与基本物质资源消耗。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D14A91B">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65F58E">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93A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950A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1.医疗机构使用一次性刀具的，按零差率销售，不得收取“射频辅助操作费”。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71671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EF3E8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96182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E96DD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6960C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EF40D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78E8AA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EE8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1385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017100000120000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61E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微波辅助操作费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CFEE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通过高频电磁波产生热效应，实现组织坏死或气化等操作，辅助完成手术或治疗。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8653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所定价格涵盖设备准备、参数调节、微波操作、处理用物等步骤所需的人力资源、可复用刀具、设备运转成本与基本物质资源消耗。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F29A13">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67AA9F">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7AE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EF8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1.医疗机构使用一次性刀具的，按零差率销售，不得收取“微波辅助操作费”。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B7AB8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68D83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DB527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C608D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6F1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9CEFB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29F721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35"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838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646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017100000130000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C5F7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冷冻辅助操作费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FB6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通过冷冻介质，迅速冷却组织，使组织坏死或气化，辅助完成手术或治疗。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2FDB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所定价格涵盖设备准备、参数调节、冷冻操作、处理用物等步骤所需的人力资源、可复用刀具、设备运转成本与基本物质资源消耗。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BD4871">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7502B4B">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79B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77CBF6A">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1.医疗机构使用一次性刀具的，按零差率销售，不得收取“冷冻辅助操作费”。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E40A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5F19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87A48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796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6DD8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D0F1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14:paraId="4A5A63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16F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7EDB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017200000010000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F1B3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微动力辅助操作费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890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通过微动力设备，实现组织切削、打磨等操作，辅助完成手术或治疗。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404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所定价格涵盖设备准备、参数调节、切割吸引、撤除、处理用物等步骤所需的人力资源、可复用刀具、设备运转成本与基本物质资源消耗。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E1D1BA">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413163">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D3A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50DA7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1.医疗机构使用一次性刀具的，按零差率销售，不得收取“微动力辅助操作费”。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7AF6E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7030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1934D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A72F6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1053</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19A6B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84F2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BF97F9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4BBFF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65CB7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017200000020000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D38274">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微动力辅助操作费（口腔）</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EBE60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通过口腔微动力设备，实现组织切削、打磨等操作，辅助完成口腔手术或治疗。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8E85F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所定价格涵盖设备准备、参数调节、切割打磨、撤除、处理用物等步骤所需的人力资源、可复用刀具、设备运转成本与基本物质资源消耗。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C89B1F9">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ACAEE8E">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F0DF68">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3493B49">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1.医疗机构使用一次性刀具的，按零差率销售，不得收取“微动力辅助操作费（口腔）”。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C1FED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92863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91F9C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BDB80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786D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8CBE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2C7A43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897F1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A14247">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017100000140000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3E3561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水动力辅助操作费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69C6D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通过高压液流，实现切割、清创等操作，辅助完成手术或治疗。</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ED67CF">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所定价格涵盖设备准备、参数调节、切割吸引、撤除、处理用物等步骤所需的人力资源、可复用刀具、设备运转成本与基本物质资源消耗。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994241">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9AD32E">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916DCD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30FE3D">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1.医疗机构使用一次性刀具的，按零差率销售，不得收取“水动力辅助操作费”。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2.同一复用刀具有多种辅助操作功能的，医疗机构实际收费时，按收费标准最高的医疗服务价格项目计费，不叠加计费。</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435B7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C57EE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77170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B9F1B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3D36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A736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F27CF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10"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7F2E8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0F98673">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017300000030000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6544CA">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X线透视引导辅助操作费（平扫）</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770482">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通过普通X线透视为手术或治疗操作提供可视化条件。</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342A41">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所定价格涵盖设备准备、透视、引导、撤除、处理用物等步骤所需的人力资源、设备运转成本与基本物质资源消耗。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5BBBC1">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BEB8D4">
            <w:pPr>
              <w:keepNext w:val="0"/>
              <w:keepLines w:val="0"/>
              <w:pageBreakBefore w:val="0"/>
              <w:widowControl/>
              <w:kinsoku/>
              <w:wordWrap/>
              <w:overflowPunct/>
              <w:topLinePunct w:val="0"/>
              <w:autoSpaceDE/>
              <w:autoSpaceDN/>
              <w:bidi w:val="0"/>
              <w:adjustRightInd/>
              <w:snapToGrid/>
              <w:spacing w:line="22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AB1620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B348F3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1.时间以引导实际使用时间为准。操作过程中不与相应部位X线检查同时收取。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2.单次引导以半小时为基础计价，超出部分每增加半小时按50%叠加计价，每次计价一类价格封顶126元、二类价格封顶108元、三类价格封顶90元、基层价格封顶82元。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A41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2BB91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8C3C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2C34E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D4A9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F8C2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374F4B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402FEF">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A900CF">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017300000040000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B0F34CA">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X线透视引导辅助操作费（机械臂-二维成像）</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A4C960">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通过各种类型机械臂扫描形成二维图像，为手术或治疗操作提供可视化条件。</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2D4DD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所定价格涵盖设备准备、透视、引导、撤除、处理用物，及必要时进行三维重建等步骤所需的人力资源、设备运转成本与基本物质资源消耗。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401F28">
            <w:pPr>
              <w:keepNext w:val="0"/>
              <w:keepLines w:val="0"/>
              <w:pageBreakBefore w:val="0"/>
              <w:widowControl/>
              <w:kinsoku/>
              <w:wordWrap/>
              <w:overflowPunct/>
              <w:topLinePunct w:val="0"/>
              <w:autoSpaceDE/>
              <w:autoSpaceDN/>
              <w:bidi w:val="0"/>
              <w:adjustRightInd/>
              <w:snapToGrid/>
              <w:spacing w:line="21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872374">
            <w:pPr>
              <w:keepNext w:val="0"/>
              <w:keepLines w:val="0"/>
              <w:pageBreakBefore w:val="0"/>
              <w:widowControl/>
              <w:kinsoku/>
              <w:wordWrap/>
              <w:overflowPunct/>
              <w:topLinePunct w:val="0"/>
              <w:autoSpaceDE/>
              <w:autoSpaceDN/>
              <w:bidi w:val="0"/>
              <w:adjustRightInd/>
              <w:snapToGrid/>
              <w:spacing w:line="21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068478">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8331A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1.计价时间以引导实际使用时间为准。操作过程中不与相应部位X线检查同时收取。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2.单次引导以半小时为基础计价，超出部分每增加半小时按50%叠加计价，每次计价一类价格封顶406元、二类价格封顶360元、三类价格封顶324元、基层价格封顶292元。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C97F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B486F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F5C2E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827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2E1B3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1792A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30CCE9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92D9B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5CDFCE9">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017300000050000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9583A1">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X线透视引导辅助操作费（机械臂-三维成像）</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2E0053">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通过各种类型机械臂扫描直接形成三维图像，为手术或治疗操作提供可视化条件。</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6E611F">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所定价格涵盖设备准备、透视、引导、撤除、处理用物等步骤所需的人力资源、设备运转成本与基本物质资源消耗。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9402AE">
            <w:pPr>
              <w:keepNext w:val="0"/>
              <w:keepLines w:val="0"/>
              <w:pageBreakBefore w:val="0"/>
              <w:widowControl/>
              <w:kinsoku/>
              <w:wordWrap/>
              <w:overflowPunct/>
              <w:topLinePunct w:val="0"/>
              <w:autoSpaceDE/>
              <w:autoSpaceDN/>
              <w:bidi w:val="0"/>
              <w:adjustRightInd/>
              <w:snapToGrid/>
              <w:spacing w:line="21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51FE105">
            <w:pPr>
              <w:keepNext w:val="0"/>
              <w:keepLines w:val="0"/>
              <w:pageBreakBefore w:val="0"/>
              <w:widowControl/>
              <w:kinsoku/>
              <w:wordWrap/>
              <w:overflowPunct/>
              <w:topLinePunct w:val="0"/>
              <w:autoSpaceDE/>
              <w:autoSpaceDN/>
              <w:bidi w:val="0"/>
              <w:adjustRightInd/>
              <w:snapToGrid/>
              <w:spacing w:line="21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6774AB8">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859D9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1.计价时间以引导实际使用时间为准。操作过程中不与相应部位X线检查同时收取。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2.单次引导以半小时为基础计价，超出部分每增加半小时按50%叠加计价，每次计价一类价格封顶630、二类价格封顶558元、三类价格封顶504元、基层价格封顶454元。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B42BB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3354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279</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8F2C0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B1EF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8396F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A967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70CEAA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F556D2B">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B68BDA">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017300000060000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EEF7DDD">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X线透视引导辅助操作费（数字减影）</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064CA2">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通过数字减影透视技术，为手术或治疗操作提供可视化条件。</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E988934">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0DACDF">
            <w:pPr>
              <w:keepNext w:val="0"/>
              <w:keepLines w:val="0"/>
              <w:pageBreakBefore w:val="0"/>
              <w:widowControl/>
              <w:kinsoku/>
              <w:wordWrap/>
              <w:overflowPunct/>
              <w:topLinePunct w:val="0"/>
              <w:autoSpaceDE/>
              <w:autoSpaceDN/>
              <w:bidi w:val="0"/>
              <w:adjustRightInd/>
              <w:snapToGrid/>
              <w:spacing w:line="21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6A540DD">
            <w:pPr>
              <w:keepNext w:val="0"/>
              <w:keepLines w:val="0"/>
              <w:pageBreakBefore w:val="0"/>
              <w:widowControl/>
              <w:kinsoku/>
              <w:wordWrap/>
              <w:overflowPunct/>
              <w:topLinePunct w:val="0"/>
              <w:autoSpaceDE/>
              <w:autoSpaceDN/>
              <w:bidi w:val="0"/>
              <w:adjustRightInd/>
              <w:snapToGrid/>
              <w:spacing w:line="21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7A1EC03">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BB25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1.计价时间以引导实际使用时间为准。操作过程中不与相应部位X线检查同时收取。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2.单次引导以半小时为基础计价，超出部分每增加半小时按50%叠加计价，每次计价一类价格封顶406元、二类价格封顶360元、三类价格封顶324元、基层价格封顶292元。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4D9A9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0BEC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CB6A8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E717A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F2ECE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66615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6F7257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D18A2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1A7598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017300000070000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B0F0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计算机体层扫描引导辅助操作费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EA74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通过计算机体层扫描或透视成像，为手术或治疗操作提供可视化条件。</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AB5FF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所定价格涵盖设备准备、扫描、引导、撤除、处理用物等步骤所需的人力资源、设备运转成本与基本物质资源消耗。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B2D604F">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6BF45F">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903B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D4783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1.操作过程中不与相应部位计算机体层扫描（CT）检查同时收取。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2.计价时间以引导实际使用时间为准。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3.单次引导以半小时为基础计价，超出部分每增加半小时按50%叠加计价，每次计价一类价格封顶648元、二类价格封顶576元、三类价格封顶522元、基层价格封顶470元。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8F5C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324</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426B0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288</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5416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261</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D47F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648C9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C5808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06162C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0010A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6C3A3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017300000080000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DEC91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磁共振引导辅助操作费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0D1FB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通过磁共振引导，为手术或治疗操作提供可视化条件。</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9011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所定价格涵盖设备准备、扫描、引导、撤除、处理用物等步骤所需的人力资源、设备运转成本与基本物质资源消耗。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70F7D0">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A84C949">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E0736C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558A7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1.操作过程中不与相应部位磁共振（MR）检查同时收取。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2.计价时间以引导实际使用时间为准。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3.单次引导以半小时为基础计价，超出部分每增加半小时按50%叠加计价，每次计价一类价格封顶730元、二类价格封顶658元、三类价格封顶586元、基层价格封顶528元。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74AE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772B8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329</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E09B0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293</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0409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D905D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08DF2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72A9EF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3D27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704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017300000090000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1C580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超声引导辅助操作费（治疗）</w:t>
            </w:r>
          </w:p>
        </w:tc>
        <w:tc>
          <w:tcPr>
            <w:tcW w:w="20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5491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通过超声技术，为治疗提供可视化条件。</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EF0D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所定价格涵盖设备准备、超声引导、撤除、处理用物等步骤所需的人力资源、设备运转成本与基本物质资源消耗。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9A732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01彩色多普勒超声加收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11便携式超声引导减收</w:t>
            </w: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D01A5A8">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1621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10分钟</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C369CF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1.计价时间以引导实际使用时间为准。操作过程中不与相应部位超声检查同时收取。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2.单次引导以10分钟为基础计价，超出时间每增加10分钟按60%叠加计价，每次计价一类价格封顶70元、二类价格封顶59元、三类价格封顶51元、基层价格封顶49元。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A3AC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EC91A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0903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597B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5FEF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17E9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3D8BFC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42F5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5ACC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017300000090001</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52D18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超声引导辅助操作费（治疗）-彩色多普勒超声（加收100%）</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E7806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15200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C04D2B">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1393C62">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B0386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00D5CE">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1.计价时间以引导实际使用时间为准。操作过程中不与相应部位超声检查同时收取。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2.单次引导以10分钟为基础计价，超出时间每增加10分钟按60%叠加计价，每次计价一类价格封顶70元、二类价格封顶59元、三类价格封顶51元、基层价格封顶49元。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52B46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FFBE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F1BD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3D8F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CCD6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F2B2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444672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7FE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83FFC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017300000090011</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DB3E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超声引导辅助操作费（治疗）-便携式超声引导（减收）</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4B53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30B68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429D00C">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978D945">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EFE2F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5E81D26">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计价时间以引导实际使用时间为准。操作过程中不与相应部位超声检查同时收取。单次引导市一、二、三类减收14元，基层减收13元。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9062D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A61E2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9CD42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3C4E8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CA4A9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544BE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228048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D21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10D6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017300000100000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F826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超声引导辅助操作费（手术）</w:t>
            </w:r>
          </w:p>
        </w:tc>
        <w:tc>
          <w:tcPr>
            <w:tcW w:w="2098"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196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通过超声技术，为手术提供可视化条件。</w:t>
            </w:r>
          </w:p>
        </w:tc>
        <w:tc>
          <w:tcPr>
            <w:tcW w:w="1980"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794F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所定价格涵盖设备准备、超声引导、撤除、处理用物等步骤所需的人力资源、设备运转成本与基本物质资源消耗。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2CAA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01彩色多普勒超声加收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11便携式超声引导减收</w:t>
            </w: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9B1C72B">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restart"/>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EB6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半小时</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CF38668">
            <w:pPr>
              <w:keepNext w:val="0"/>
              <w:keepLines w:val="0"/>
              <w:pageBreakBefore w:val="0"/>
              <w:widowControl/>
              <w:suppressLineNumbers w:val="0"/>
              <w:kinsoku/>
              <w:wordWrap/>
              <w:overflowPunct/>
              <w:topLinePunct w:val="0"/>
              <w:autoSpaceDE/>
              <w:autoSpaceDN/>
              <w:bidi w:val="0"/>
              <w:adjustRightInd/>
              <w:snapToGrid/>
              <w:spacing w:line="21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1.计价时间以引导实际使用时间为准。操作过程中不与相应部位超声检查同时收取。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2.单次引导以半小时为基础计价，超出部分每增加半小时按50%叠加计价，每次计价一类价格封顶468元、二类价格封顶396元、三类价格封顶324元、基层价格封顶292元。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A8F07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F0E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13E5A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B83D3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94FE5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BABB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23764D1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27C2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C09D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017300000100001</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3C4B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超声引导辅助操作费（手术）-彩色多普勒超声（加收100%）</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C1CA29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F8C35B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A15CF4B">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5481CA">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8587C4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A82D6DD">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1.计价时间以引导实际使用时间为准。操作过程中不与相应部位超声检查同时收取。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2.单次引导以半小时为基础计价，超出部分每增加半小时按50%叠加计价，每次计价一类价格封顶468元、二类价格封顶396元、三类价格封顶324元、基层价格封顶292元。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289C8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234</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374BD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083F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CE65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4CCB3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F7AC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3963CF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4152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2DEC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017300000100011</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2745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超声引导辅助操作费（手术）-便携式超声引导（减收）</w:t>
            </w:r>
          </w:p>
        </w:tc>
        <w:tc>
          <w:tcPr>
            <w:tcW w:w="2098"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B1B9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980"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482C45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12195AC">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6B0133">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cs="宋体"/>
                <w:b/>
                <w:bCs/>
                <w:kern w:val="0"/>
                <w:sz w:val="20"/>
                <w:szCs w:val="20"/>
              </w:rPr>
            </w:pPr>
          </w:p>
        </w:tc>
        <w:tc>
          <w:tcPr>
            <w:tcW w:w="555" w:type="dxa"/>
            <w:vMerge w:val="continue"/>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F9734E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kern w:val="0"/>
                <w:sz w:val="20"/>
                <w:szCs w:val="20"/>
                <w:u w:val="none"/>
                <w:lang w:val="en-US" w:eastAsia="zh-CN" w:bidi="ar"/>
              </w:rPr>
            </w:pP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BDF4F7B">
            <w:pPr>
              <w:keepNext w:val="0"/>
              <w:keepLines w:val="0"/>
              <w:pageBreakBefore w:val="0"/>
              <w:widowControl/>
              <w:suppressLineNumbers w:val="0"/>
              <w:kinsoku/>
              <w:wordWrap/>
              <w:overflowPunct/>
              <w:topLinePunct w:val="0"/>
              <w:autoSpaceDE/>
              <w:autoSpaceDN/>
              <w:bidi w:val="0"/>
              <w:adjustRightInd/>
              <w:snapToGrid/>
              <w:spacing w:line="23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计价时间以引导实际使用时间为准。操作过程中不与相应部位超声检查同时收取。单次引导市一、二、三类减收45元，基层减收41元。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3FBDE5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B0789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66A58F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77A0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A740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7F7ED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14:paraId="138CD3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265"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77559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3C472D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017400000010000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CEE5FA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手术机械臂辅助操作费（导航）</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20DC2A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通过手术机械臂平台，操控手术器械，参与导航、定位等引导操作。</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C6BCC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所定价格涵盖设备准备、体位摆放、制定计划、导航、定位、撤除、处理用物、数据处理与上传存储（含数字方式）等步骤所需的人力资源、以及配套使用的器械耗材、设备运转成本与基本物质资源消耗。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AAA5235">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D070F22">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287D4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56B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1.操作过程中不与引导费用、“手术路径导航辅助操作费”同时收取。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2.单台设备同时具备导航、部分执行、精准执行中的两项或三项功能的，医疗机构实际收费时，按收费标准最高的医疗服务价格项目计费，不叠加计费。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本项目收费标准与主手术对应价格项目挂钩，按主手术项目价格的50%计价，每例手术限计价一次，达不到政府指导价的按政府指导价计价，每次计价一类价格封顶3240元、二类价格封顶2916元、三类价格封顶2628元、基层价格封顶2366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4.医疗机构未上传医疗数据和设备运行记录的，应执行减收政策，减收标准100元。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5160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AFB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1458</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23BD5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1314</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1C785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1183</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444BA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7ED77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0A010B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D90A7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137AF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017100000150000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68ADAD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手术机械臂辅助操作费（参与执行）</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0853D25">
            <w:pPr>
              <w:keepNext w:val="0"/>
              <w:keepLines w:val="0"/>
              <w:pageBreakBefore w:val="0"/>
              <w:widowControl/>
              <w:suppressLineNumbers w:val="0"/>
              <w:kinsoku/>
              <w:wordWrap/>
              <w:overflowPunct/>
              <w:topLinePunct w:val="0"/>
              <w:autoSpaceDE/>
              <w:autoSpaceDN/>
              <w:bidi w:val="0"/>
              <w:adjustRightInd/>
              <w:snapToGrid/>
              <w:spacing w:after="200" w:afterAutospacing="0"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通过手术机械臂平台，以映射控制的方式，辅助医务人员操控手术器械，参与完成构建通道、打孔或切割中的一个或若干个手术步骤。</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7E5C2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体位摆放、制定计划、导航、定位、探查、调节、控制机械臂完成部分手术操作、撤除、处理用物、数据处理与上传存储（含数字方式）等步骤所需的人力资源、以及配套使用的器械耗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037C6C1">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940CB4D">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70864D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804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1.操作过程中不与引导费用、“手术路径导航辅助操作费”同时收取。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2.单台设备同时具备导航、部分执行、精准执行中的两项或三项功能的，医疗机构实际收费时，按收费标准最高的医疗服务价格项目计费，不叠加计费。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本项目收费标准与主手术对应价格项目挂钩，按主手术项目价格的150%计价，每例手术限计价一次，达不到政府指导价的按政府指导价计价，每次计价一类价格封顶10800元、二类价格封顶9720元、三类价格封顶8748元、基层价格封顶7874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4.医疗机构未上传医疗数据和设备运行记录的，应执行减收政策，减收标准100元。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7762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28684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4050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F27C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3645</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4F53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3281</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55164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3704D8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5EA036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D868FD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0B9C8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017100000160000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1F83B1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手术机械臂辅助操作费（精准执行）</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7C5247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通过手术机械臂平台，以映射控制的方式，辅助医务人员操控手术器械精准完成手术的全部步骤，或精准完成手术中器官、组织的切除、重建、修复等全部关键步骤。</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B99344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体位摆放、制定计划、导航、定位、探查、调节、控制机械臂完成手术操作、撤除、处理用物、数据处理与上传存储（含数字方式）等步骤所需的人力资源、以及配套使用的器械耗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2614E92">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6EE0546B">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F4255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335AD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highlight w:val="yellow"/>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1.操作过程中不与引导费用、“手术路径导航辅助操作费”同时收取。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2.单台设备同时具备导航、部分执行、精准执行中的两项或三项功能的，医疗机构实际收费时，按收费标准最高的医疗服务价格项目计费，不叠加计费。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本项目收费标准与主手术对应价格项目挂钩，按主手术项目价格的300%计价，每例手术限计价一次，达不到政府指导价的按政府指导价计价，每次计价一类价格封顶23500元、二类价格封顶20500元、三类价格封顶18300元、基层价格封顶16500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4.医疗机构未上传医疗数据和设备运行记录的，应执行减收政策，减收标准100元。</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AC9B2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14400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76FCA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12600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01854A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11250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D5B8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10125</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50088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2591DC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r w14:paraId="58D551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2" w:hRule="atLeast"/>
          <w:jc w:val="center"/>
        </w:trPr>
        <w:tc>
          <w:tcPr>
            <w:tcW w:w="43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7DADDC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631"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00523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017100000170000</w:t>
            </w:r>
          </w:p>
        </w:tc>
        <w:tc>
          <w:tcPr>
            <w:tcW w:w="14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691D48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远程手术辅助操作费</w:t>
            </w:r>
          </w:p>
        </w:tc>
        <w:tc>
          <w:tcPr>
            <w:tcW w:w="2098"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087974F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通过计算机平台远程操控手术器械，精准完成手术的全部步骤，或精准完成手术中器官、组织的切除、重建、修复等全部关键步骤。</w:t>
            </w:r>
          </w:p>
        </w:tc>
        <w:tc>
          <w:tcPr>
            <w:tcW w:w="198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4FA5C16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所定价格涵盖设备准备、体位摆放、制定计划、导航、定位、探查、调节、控制机械臂完成手术操作、撤除、处理用物、数据处理与上传存储（含数字方式）等步骤所需的人力资源、以及配套使用的器械耗材、设备运转成本与基本物质资源消耗。</w:t>
            </w:r>
          </w:p>
        </w:tc>
        <w:tc>
          <w:tcPr>
            <w:tcW w:w="73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9BC9E44">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420"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2EBBB952">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cs="宋体"/>
                <w:b/>
                <w:bCs/>
                <w:kern w:val="0"/>
                <w:sz w:val="20"/>
                <w:szCs w:val="20"/>
              </w:rPr>
            </w:pPr>
          </w:p>
        </w:tc>
        <w:tc>
          <w:tcPr>
            <w:tcW w:w="55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16DA06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次</w:t>
            </w:r>
          </w:p>
        </w:tc>
        <w:tc>
          <w:tcPr>
            <w:tcW w:w="1875" w:type="dxa"/>
            <w:tcBorders>
              <w:top w:val="single" w:color="000000" w:sz="4" w:space="0"/>
              <w:left w:val="single" w:color="000000" w:sz="4" w:space="0"/>
              <w:bottom w:val="single" w:color="000000" w:sz="4" w:space="0"/>
              <w:right w:val="single" w:color="000000" w:sz="4" w:space="0"/>
            </w:tcBorders>
            <w:noWrap w:val="0"/>
            <w:tcMar>
              <w:left w:w="57" w:type="dxa"/>
              <w:right w:w="57" w:type="dxa"/>
            </w:tcMar>
            <w:vAlign w:val="center"/>
          </w:tcPr>
          <w:p w14:paraId="5B28420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1.操作过程中不与引导费用、“手术路径导航辅助操作费”“手术机械臂辅助操作费”同时收取。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本项目收费标准与主手术对应价格项目挂钩，以患者接受手术的地区价格为基数，按主手术项目价格的500%计价，每例手术限计价一次，达不到政府指导价的按政府指导价计价，每次计价一类价格封顶33300元、二类价格封顶30000元、三类价格封顶27000元、基层价格封顶24200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3.医疗机构未上传医疗数据和设备运行记录的，应执行减收政策，减收标准100元。                         4.远程指跨地市且距离超过300公里。</w:t>
            </w:r>
          </w:p>
        </w:tc>
        <w:tc>
          <w:tcPr>
            <w:tcW w:w="720"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526287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18000</w:t>
            </w:r>
          </w:p>
        </w:tc>
        <w:tc>
          <w:tcPr>
            <w:tcW w:w="76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6A56E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16200</w:t>
            </w:r>
          </w:p>
        </w:tc>
        <w:tc>
          <w:tcPr>
            <w:tcW w:w="765" w:type="dxa"/>
            <w:tcBorders>
              <w:top w:val="single" w:color="000000" w:sz="4" w:space="0"/>
              <w:left w:val="single" w:color="000000" w:sz="4" w:space="0"/>
              <w:bottom w:val="single" w:color="000000" w:sz="4" w:space="0"/>
              <w:right w:val="single" w:color="auto" w:sz="4" w:space="0"/>
            </w:tcBorders>
            <w:noWrap w:val="0"/>
            <w:tcMar>
              <w:left w:w="57" w:type="dxa"/>
              <w:right w:w="57" w:type="dxa"/>
            </w:tcMar>
            <w:vAlign w:val="center"/>
          </w:tcPr>
          <w:p w14:paraId="4F19A0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14580</w:t>
            </w:r>
          </w:p>
        </w:tc>
        <w:tc>
          <w:tcPr>
            <w:tcW w:w="720"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12BC11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13122</w:t>
            </w:r>
          </w:p>
        </w:tc>
        <w:tc>
          <w:tcPr>
            <w:tcW w:w="615"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4F3172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丙类</w:t>
            </w:r>
          </w:p>
        </w:tc>
        <w:tc>
          <w:tcPr>
            <w:tcW w:w="626" w:type="dxa"/>
            <w:tcBorders>
              <w:top w:val="single" w:color="000000" w:sz="4" w:space="0"/>
              <w:left w:val="single" w:color="auto" w:sz="4" w:space="0"/>
              <w:bottom w:val="single" w:color="000000" w:sz="4" w:space="0"/>
              <w:right w:val="single" w:color="000000" w:sz="4" w:space="0"/>
            </w:tcBorders>
            <w:noWrap w:val="0"/>
            <w:tcMar>
              <w:left w:w="57" w:type="dxa"/>
              <w:right w:w="57" w:type="dxa"/>
            </w:tcMar>
            <w:vAlign w:val="center"/>
          </w:tcPr>
          <w:p w14:paraId="0523ED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r>
    </w:tbl>
    <w:p w14:paraId="7D57219B">
      <w:pPr>
        <w:pStyle w:val="3"/>
        <w:widowControl/>
        <w:wordWrap w:val="0"/>
        <w:spacing w:before="156" w:beforeLines="50" w:beforeAutospacing="0" w:afterAutospacing="0" w:line="320" w:lineRule="exact"/>
        <w:rPr>
          <w:rFonts w:hint="eastAsia" w:ascii="仿宋_GB2312" w:hAnsi="仿宋_GB2312" w:eastAsia="仿宋_GB2312" w:cs="仿宋_GB2312"/>
          <w:b/>
          <w:bCs/>
          <w:sz w:val="28"/>
          <w:szCs w:val="28"/>
          <w:shd w:val="clear" w:color="auto" w:fill="FFFFFF"/>
        </w:rPr>
      </w:pPr>
      <w:bookmarkStart w:id="0" w:name="_GoBack"/>
      <w:bookmarkEnd w:id="0"/>
    </w:p>
    <w:p w14:paraId="0E0C3091">
      <w:pPr>
        <w:pStyle w:val="3"/>
        <w:widowControl/>
        <w:wordWrap w:val="0"/>
        <w:spacing w:before="156" w:beforeLines="50" w:beforeAutospacing="0" w:afterAutospacing="0" w:line="320" w:lineRule="exact"/>
        <w:ind w:firstLine="562" w:firstLineChars="200"/>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rPr>
        <w:t>使用说明：</w:t>
      </w:r>
    </w:p>
    <w:p w14:paraId="6CEB325D">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1.5个3D打印项目价格构成里所指的物料消耗，包括但不限于塑料、树脂、金属粉末、生物墨水、细胞等3D打印材料。</w:t>
      </w:r>
    </w:p>
    <w:p w14:paraId="15288642">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2.根据《深化医疗服务价格改革试点方案》（医保发〔2021〕41号）关于“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的要求，服务产出相同的一类项目在操作层面存在差异，但在价格项目和定价水平层面具备合并同类项的条件，立项指南对此进行合并。所定价格属于政府指导价为最高限价，下浮不限。同时，医疗机构申报的技术改良进步项目，采取“现有项目兼容”方式处理，由省级医疗保障部门明确可对应执行的项目。</w:t>
      </w:r>
    </w:p>
    <w:p w14:paraId="6897CFF2">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3.本立项指南所称“价格构成”，指项目价格应涵盖的各类资源消耗，用于确定计价单元的边界，是省市级医保部门制定调整项目价格的测算因子，不应作为临床技术标准理解，不是实际操作方式、路径、步骤、程序的强制性要求，价格构成中包含但临床实践中非必要、未发生的，无需强制要求公立医疗机构减计费用。所列“设备运转成本”包括但不限于操作设备、器具及固定资产投入。</w:t>
      </w:r>
    </w:p>
    <w:p w14:paraId="44237FFA">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4.本立项指南所称“加收项”，指同一项目以不同方式提供或在不同场景应用时，确有必要制定差异化收费标准而细分的一类子项，包括在原项目价格基础上增加或减少收费的情况；实际应用中，同时涉及多个加收项的，以项目单价为基础计算相应的加/减收水平后，据实收费。</w:t>
      </w:r>
    </w:p>
    <w:p w14:paraId="08518E85">
      <w:pPr>
        <w:spacing w:line="320" w:lineRule="exact"/>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5.本立项指南所称“扩展项”，指同一项目下以不同方式提供或在不同场景应用时，只扩展价格项目适用范围、不额外加价的一类子项，子项的价格按主项目执行。</w:t>
      </w:r>
    </w:p>
    <w:p w14:paraId="304AAB58">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6.本立项指南所称“基本物质资源消耗”，指原则上限于不应或不必要与医疗服务项目分割的易耗品，包括但不限于各类消杀灭菌用品、储存用品、清洁用品、个人防护用品、标签、垃圾处理用品、润滑剂、治疗巾（单）、棉球、棉签、纱布（垫）、普通绷带、固定带、治疗护理盘（包）、普通注射器、护（尿）垫、中单、冲洗工具、备皮工具、耦合剂、无菌罩、软件（版权、开发、购买）成本等。基本物质资源消耗成本计入项目价格，不另行收费。除基本物质资源消耗以外的其他耗材，立项指南落地前价格项目除外内容的可收费医用耗材以及计价说明规定的一次性刀具、一次性光纤，按照实际采购价格零差率销售。</w:t>
      </w:r>
    </w:p>
    <w:p w14:paraId="1BAC164F">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7.本立项指南价格构成中所称“穿刺”为主项操作涉及的必要穿刺技术，价格构成中的穿刺操作不可收取相关费用；独立穿刺项目可按相应治疗价格项目收取。</w:t>
      </w:r>
    </w:p>
    <w:p w14:paraId="4933DCE2">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8.本立项指南中涉及“包括……”“…… 等”的，属于开放型表述，所指对象不仅局限于表述中列明的事项，也包括未列明的同类事项。</w:t>
      </w:r>
    </w:p>
    <w:p w14:paraId="5CE03FB2">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9.本立项指南所设立价格项目为通用项目，已在其他类别立项指南特定学科中单独设立价格项目的，优先执行特定学科的价格项目。</w:t>
      </w:r>
    </w:p>
    <w:p w14:paraId="43FD87F1">
      <w:pPr>
        <w:spacing w:line="320" w:lineRule="exact"/>
        <w:ind w:firstLine="560" w:firstLineChars="200"/>
        <w:rPr>
          <w:rFonts w:hint="eastAsia"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rPr>
        <w:t>10.医疗机构开展相关“医学3D重建辅助操作”“手术路径导航辅助操作”“手术机械臂辅助操作”“远程手术辅助操作”的，需保存并上传符合要求的医疗数据和设备运行记录，未提供上传数据和存储服务的，执行减收政策，减收标准100元。远程手术辅助操作费收费标准与主手术对应价格项目挂钩，以患者接受手术的地区价格为基数计费，患者接受手术的地区指的是患者办理门诊、住院手续所在地区。</w:t>
      </w:r>
    </w:p>
    <w:p w14:paraId="0906D289">
      <w:pPr>
        <w:spacing w:line="320" w:lineRule="exact"/>
        <w:ind w:firstLine="560" w:firstLineChars="200"/>
        <w:rPr>
          <w:rFonts w:hint="eastAsia" w:ascii="黑体" w:hAnsi="黑体" w:eastAsia="黑体" w:cs="仿宋_GB2312"/>
          <w:kern w:val="0"/>
          <w:sz w:val="32"/>
          <w:szCs w:val="32"/>
        </w:rPr>
      </w:pPr>
      <w:r>
        <w:rPr>
          <w:rFonts w:hint="eastAsia" w:ascii="仿宋_GB2312" w:hAnsi="仿宋_GB2312" w:eastAsia="仿宋_GB2312" w:cs="仿宋_GB2312"/>
          <w:sz w:val="28"/>
          <w:szCs w:val="28"/>
          <w:shd w:val="clear" w:color="auto" w:fill="FFFFFF"/>
        </w:rPr>
        <w:t>11.临床实践中，手术和治疗的操作多需辅助操作技术伴随进行，“医疗服务价格项目立项指南”中，对于应用辅助操作技术的手术或治疗合并设置了专门项目的，医疗机构按照立项指南专门项目收费，不得重复收取辅助操作费。例如，“心脏直视消融费”的价格构成已包含射频消融，不得重复收取“射频辅助操作费”;对于应用辅助操作技术的手术或治疗未合并设置专门项目的，医疗机构按照“手术/治疗价格”+“辅助操作费”的方式收费，无需另行申报新增医疗服务价格项目。</w:t>
      </w:r>
    </w:p>
    <w:p w14:paraId="42F3C5E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35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6">
    <w:name w:val="font71"/>
    <w:qFormat/>
    <w:uiPriority w:val="0"/>
    <w:rPr>
      <w:rFonts w:hint="default" w:ascii="Times New Roman" w:hAnsi="Times New Roman" w:cs="Times New Roman"/>
      <w:b/>
      <w:bCs/>
      <w:color w:val="000000"/>
      <w:sz w:val="24"/>
      <w:szCs w:val="24"/>
      <w:u w:val="none"/>
    </w:rPr>
  </w:style>
  <w:style w:type="character" w:customStyle="1" w:styleId="7">
    <w:name w:val="font5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6</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2026-07-17T00:39:34Z</dcterms:created>
  <dc:creator>Administrator</dc:creator>
  <cp:lastModifiedBy>旋子！</cp:lastModifiedBy>
  <dcterms:modified xsi:type="dcterms:W3CDTF">2026-07-17T00:45:46Z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eyJoZGlkIjoiMmIwMTI4NjAyZmE1ZGZkYzExMDNmYWFiZTMzYjdmNjciLCJ1c2VySWQiOiI0NTcwMDExODYifQ==</vt:lpwstr>
  </property>
  <property fmtid="{D5CDD505-2E9C-101B-9397-08002B2CF9AE}" pid="4" name="ICV">
    <vt:lpwstr>1058CE08BA7247A3AF5FCB01A3A96509_12</vt:lpwstr>
  </property>
</Properties>
</file>