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F3358">
      <w:pPr>
        <w:pStyle w:val="3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 xml:space="preserve">附件2-1      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常德市中医特殊疗法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类医疗服务项目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价格表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1637"/>
        <w:gridCol w:w="1413"/>
        <w:gridCol w:w="1212"/>
        <w:gridCol w:w="1888"/>
        <w:gridCol w:w="1025"/>
        <w:gridCol w:w="437"/>
        <w:gridCol w:w="826"/>
        <w:gridCol w:w="1937"/>
        <w:gridCol w:w="850"/>
        <w:gridCol w:w="862"/>
        <w:gridCol w:w="838"/>
        <w:gridCol w:w="900"/>
        <w:gridCol w:w="650"/>
        <w:gridCol w:w="657"/>
      </w:tblGrid>
      <w:tr w14:paraId="1C071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dxa"/>
            <w:noWrap w:val="0"/>
            <w:vAlign w:val="center"/>
          </w:tcPr>
          <w:p w14:paraId="5B47F7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1637" w:type="dxa"/>
            <w:noWrap w:val="0"/>
            <w:vAlign w:val="center"/>
          </w:tcPr>
          <w:p w14:paraId="643641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项目编码</w:t>
            </w:r>
          </w:p>
        </w:tc>
        <w:tc>
          <w:tcPr>
            <w:tcW w:w="1413" w:type="dxa"/>
            <w:noWrap w:val="0"/>
            <w:vAlign w:val="center"/>
          </w:tcPr>
          <w:p w14:paraId="49134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212" w:type="dxa"/>
            <w:noWrap w:val="0"/>
            <w:vAlign w:val="center"/>
          </w:tcPr>
          <w:p w14:paraId="290F6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服务</w:t>
            </w:r>
          </w:p>
          <w:p w14:paraId="47546C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产出</w:t>
            </w:r>
          </w:p>
        </w:tc>
        <w:tc>
          <w:tcPr>
            <w:tcW w:w="1888" w:type="dxa"/>
            <w:noWrap w:val="0"/>
            <w:vAlign w:val="center"/>
          </w:tcPr>
          <w:p w14:paraId="48EE9E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价格构成</w:t>
            </w:r>
          </w:p>
        </w:tc>
        <w:tc>
          <w:tcPr>
            <w:tcW w:w="1025" w:type="dxa"/>
            <w:noWrap w:val="0"/>
            <w:vAlign w:val="center"/>
          </w:tcPr>
          <w:p w14:paraId="6AD238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加收项</w:t>
            </w:r>
          </w:p>
        </w:tc>
        <w:tc>
          <w:tcPr>
            <w:tcW w:w="437" w:type="dxa"/>
            <w:noWrap w:val="0"/>
            <w:vAlign w:val="center"/>
          </w:tcPr>
          <w:p w14:paraId="4FD544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扩展项</w:t>
            </w:r>
          </w:p>
        </w:tc>
        <w:tc>
          <w:tcPr>
            <w:tcW w:w="826" w:type="dxa"/>
            <w:noWrap w:val="0"/>
            <w:vAlign w:val="center"/>
          </w:tcPr>
          <w:p w14:paraId="70F28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计价</w:t>
            </w:r>
          </w:p>
          <w:p w14:paraId="5D945B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单位</w:t>
            </w:r>
          </w:p>
        </w:tc>
        <w:tc>
          <w:tcPr>
            <w:tcW w:w="1937" w:type="dxa"/>
            <w:noWrap w:val="0"/>
            <w:vAlign w:val="center"/>
          </w:tcPr>
          <w:p w14:paraId="6F6C5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计价说明</w:t>
            </w:r>
          </w:p>
        </w:tc>
        <w:tc>
          <w:tcPr>
            <w:tcW w:w="850" w:type="dxa"/>
            <w:noWrap w:val="0"/>
            <w:vAlign w:val="center"/>
          </w:tcPr>
          <w:p w14:paraId="7E423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市一类价格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862" w:type="dxa"/>
            <w:noWrap w:val="0"/>
            <w:vAlign w:val="center"/>
          </w:tcPr>
          <w:p w14:paraId="2C986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市二类价格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838" w:type="dxa"/>
            <w:noWrap w:val="0"/>
            <w:vAlign w:val="center"/>
          </w:tcPr>
          <w:p w14:paraId="64E36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市三类价格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900" w:type="dxa"/>
            <w:noWrap w:val="0"/>
            <w:vAlign w:val="center"/>
          </w:tcPr>
          <w:p w14:paraId="50073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市基层价格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650" w:type="dxa"/>
            <w:noWrap w:val="0"/>
            <w:vAlign w:val="center"/>
          </w:tcPr>
          <w:p w14:paraId="4FF5D9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支付分类</w:t>
            </w:r>
          </w:p>
        </w:tc>
        <w:tc>
          <w:tcPr>
            <w:tcW w:w="657" w:type="dxa"/>
            <w:noWrap w:val="0"/>
            <w:vAlign w:val="center"/>
          </w:tcPr>
          <w:p w14:paraId="50E3F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自付比例</w:t>
            </w:r>
          </w:p>
        </w:tc>
      </w:tr>
      <w:tr w14:paraId="2928E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482" w:type="dxa"/>
            <w:noWrap w:val="0"/>
            <w:vAlign w:val="center"/>
          </w:tcPr>
          <w:p w14:paraId="0DA97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37" w:type="dxa"/>
            <w:noWrap w:val="0"/>
            <w:vAlign w:val="center"/>
          </w:tcPr>
          <w:p w14:paraId="5EAC3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014600000010000</w:t>
            </w:r>
          </w:p>
        </w:tc>
        <w:tc>
          <w:tcPr>
            <w:tcW w:w="1413" w:type="dxa"/>
            <w:noWrap w:val="0"/>
            <w:vAlign w:val="center"/>
          </w:tcPr>
          <w:p w14:paraId="6A9F2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针刀(钩活)疗法</w:t>
            </w:r>
          </w:p>
        </w:tc>
        <w:tc>
          <w:tcPr>
            <w:tcW w:w="1212" w:type="dxa"/>
            <w:vMerge w:val="restart"/>
            <w:noWrap w:val="0"/>
            <w:vAlign w:val="center"/>
          </w:tcPr>
          <w:p w14:paraId="06AE3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使用针刀、铍针、刃针等各种针刀具，对病变组织松解剥离，起到缓解症状或治疗疾病的作用。</w:t>
            </w:r>
          </w:p>
        </w:tc>
        <w:tc>
          <w:tcPr>
            <w:tcW w:w="1888" w:type="dxa"/>
            <w:vMerge w:val="restart"/>
            <w:noWrap w:val="0"/>
            <w:vAlign w:val="center"/>
          </w:tcPr>
          <w:p w14:paraId="40495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所定价格涵盖定位、穿刺、剥离、包扎等人力资源和基本物质资源消耗。</w:t>
            </w:r>
          </w:p>
        </w:tc>
        <w:tc>
          <w:tcPr>
            <w:tcW w:w="1025" w:type="dxa"/>
            <w:vMerge w:val="restart"/>
            <w:noWrap w:val="0"/>
            <w:vAlign w:val="center"/>
          </w:tcPr>
          <w:p w14:paraId="1DDDD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01脊柱针刀疗法</w:t>
            </w:r>
          </w:p>
        </w:tc>
        <w:tc>
          <w:tcPr>
            <w:tcW w:w="437" w:type="dxa"/>
            <w:vMerge w:val="restart"/>
            <w:noWrap w:val="0"/>
            <w:vAlign w:val="center"/>
          </w:tcPr>
          <w:p w14:paraId="60B8E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noWrap w:val="0"/>
            <w:vAlign w:val="center"/>
          </w:tcPr>
          <w:p w14:paraId="55110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部位</w:t>
            </w:r>
          </w:p>
        </w:tc>
        <w:tc>
          <w:tcPr>
            <w:tcW w:w="1937" w:type="dxa"/>
            <w:noWrap w:val="0"/>
            <w:vAlign w:val="center"/>
          </w:tcPr>
          <w:p w14:paraId="2106F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4F198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862" w:type="dxa"/>
            <w:noWrap w:val="0"/>
            <w:vAlign w:val="center"/>
          </w:tcPr>
          <w:p w14:paraId="74D0D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838" w:type="dxa"/>
            <w:noWrap w:val="0"/>
            <w:vAlign w:val="center"/>
          </w:tcPr>
          <w:p w14:paraId="3DBAB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900" w:type="dxa"/>
            <w:noWrap w:val="0"/>
            <w:vAlign w:val="center"/>
          </w:tcPr>
          <w:p w14:paraId="72C77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650" w:type="dxa"/>
            <w:noWrap w:val="0"/>
            <w:vAlign w:val="center"/>
          </w:tcPr>
          <w:p w14:paraId="6E9BB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甲类</w:t>
            </w:r>
          </w:p>
        </w:tc>
        <w:tc>
          <w:tcPr>
            <w:tcW w:w="657" w:type="dxa"/>
            <w:noWrap w:val="0"/>
            <w:vAlign w:val="center"/>
          </w:tcPr>
          <w:p w14:paraId="6840B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</w:tr>
      <w:tr w14:paraId="755CF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482" w:type="dxa"/>
            <w:noWrap w:val="0"/>
            <w:vAlign w:val="center"/>
          </w:tcPr>
          <w:p w14:paraId="52354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37" w:type="dxa"/>
            <w:noWrap w:val="0"/>
            <w:vAlign w:val="center"/>
          </w:tcPr>
          <w:p w14:paraId="131BC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014600000010001</w:t>
            </w:r>
          </w:p>
        </w:tc>
        <w:tc>
          <w:tcPr>
            <w:tcW w:w="1413" w:type="dxa"/>
            <w:noWrap w:val="0"/>
            <w:vAlign w:val="center"/>
          </w:tcPr>
          <w:p w14:paraId="3B34D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针刀(钩活)疗法一脊柱针刀疗法(加收30%)</w:t>
            </w:r>
          </w:p>
        </w:tc>
        <w:tc>
          <w:tcPr>
            <w:tcW w:w="1212" w:type="dxa"/>
            <w:vMerge w:val="continue"/>
            <w:noWrap w:val="0"/>
            <w:vAlign w:val="center"/>
          </w:tcPr>
          <w:p w14:paraId="72B95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Merge w:val="continue"/>
            <w:noWrap w:val="0"/>
            <w:vAlign w:val="center"/>
          </w:tcPr>
          <w:p w14:paraId="078EB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vMerge w:val="continue"/>
            <w:noWrap w:val="0"/>
            <w:vAlign w:val="center"/>
          </w:tcPr>
          <w:p w14:paraId="5B7E1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Merge w:val="continue"/>
            <w:noWrap w:val="0"/>
            <w:vAlign w:val="center"/>
          </w:tcPr>
          <w:p w14:paraId="2E24A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noWrap w:val="0"/>
            <w:vAlign w:val="center"/>
          </w:tcPr>
          <w:p w14:paraId="1061C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部位</w:t>
            </w:r>
          </w:p>
        </w:tc>
        <w:tc>
          <w:tcPr>
            <w:tcW w:w="1937" w:type="dxa"/>
            <w:noWrap w:val="0"/>
            <w:vAlign w:val="center"/>
          </w:tcPr>
          <w:p w14:paraId="203F3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066B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862" w:type="dxa"/>
            <w:noWrap w:val="0"/>
            <w:vAlign w:val="center"/>
          </w:tcPr>
          <w:p w14:paraId="4BDBF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38" w:type="dxa"/>
            <w:noWrap w:val="0"/>
            <w:vAlign w:val="center"/>
          </w:tcPr>
          <w:p w14:paraId="03734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00" w:type="dxa"/>
            <w:noWrap w:val="0"/>
            <w:vAlign w:val="center"/>
          </w:tcPr>
          <w:p w14:paraId="25DFF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650" w:type="dxa"/>
            <w:noWrap w:val="0"/>
            <w:vAlign w:val="center"/>
          </w:tcPr>
          <w:p w14:paraId="47688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甲类</w:t>
            </w:r>
          </w:p>
        </w:tc>
        <w:tc>
          <w:tcPr>
            <w:tcW w:w="657" w:type="dxa"/>
            <w:noWrap w:val="0"/>
            <w:vAlign w:val="center"/>
          </w:tcPr>
          <w:p w14:paraId="1DFD8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</w:tr>
      <w:tr w14:paraId="07121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482" w:type="dxa"/>
            <w:noWrap w:val="0"/>
            <w:vAlign w:val="center"/>
          </w:tcPr>
          <w:p w14:paraId="549E8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37" w:type="dxa"/>
            <w:noWrap w:val="0"/>
            <w:vAlign w:val="center"/>
          </w:tcPr>
          <w:p w14:paraId="2A7DF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014600000020000</w:t>
            </w:r>
          </w:p>
        </w:tc>
        <w:tc>
          <w:tcPr>
            <w:tcW w:w="1413" w:type="dxa"/>
            <w:noWrap w:val="0"/>
            <w:vAlign w:val="center"/>
          </w:tcPr>
          <w:p w14:paraId="59BC1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点穴疗法</w:t>
            </w:r>
          </w:p>
        </w:tc>
        <w:tc>
          <w:tcPr>
            <w:tcW w:w="1212" w:type="dxa"/>
            <w:noWrap w:val="0"/>
            <w:vAlign w:val="center"/>
          </w:tcPr>
          <w:p w14:paraId="17062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通过对穴位或局部点压施术，起到缓解症状或治疗疾病的作用。</w:t>
            </w:r>
          </w:p>
        </w:tc>
        <w:tc>
          <w:tcPr>
            <w:tcW w:w="1888" w:type="dxa"/>
            <w:noWrap w:val="0"/>
            <w:vAlign w:val="center"/>
          </w:tcPr>
          <w:p w14:paraId="11302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所定价格涵盖定位、施压等人力资源和基本物质资源消耗。</w:t>
            </w:r>
          </w:p>
        </w:tc>
        <w:tc>
          <w:tcPr>
            <w:tcW w:w="1025" w:type="dxa"/>
            <w:noWrap w:val="0"/>
            <w:vAlign w:val="center"/>
          </w:tcPr>
          <w:p w14:paraId="030E6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noWrap w:val="0"/>
            <w:vAlign w:val="center"/>
          </w:tcPr>
          <w:p w14:paraId="2D165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noWrap w:val="0"/>
            <w:vAlign w:val="center"/>
          </w:tcPr>
          <w:p w14:paraId="177F3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937" w:type="dxa"/>
            <w:noWrap w:val="0"/>
            <w:vAlign w:val="center"/>
          </w:tcPr>
          <w:p w14:paraId="7A516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5BEE2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862" w:type="dxa"/>
            <w:noWrap w:val="0"/>
            <w:vAlign w:val="center"/>
          </w:tcPr>
          <w:p w14:paraId="2DA29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838" w:type="dxa"/>
            <w:noWrap w:val="0"/>
            <w:vAlign w:val="center"/>
          </w:tcPr>
          <w:p w14:paraId="6465E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900" w:type="dxa"/>
            <w:noWrap w:val="0"/>
            <w:vAlign w:val="center"/>
          </w:tcPr>
          <w:p w14:paraId="60CD0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650" w:type="dxa"/>
            <w:noWrap w:val="0"/>
            <w:vAlign w:val="center"/>
          </w:tcPr>
          <w:p w14:paraId="02D2A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甲类</w:t>
            </w:r>
          </w:p>
        </w:tc>
        <w:tc>
          <w:tcPr>
            <w:tcW w:w="657" w:type="dxa"/>
            <w:noWrap w:val="0"/>
            <w:vAlign w:val="center"/>
          </w:tcPr>
          <w:p w14:paraId="6020D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</w:tr>
      <w:tr w14:paraId="15B82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82" w:type="dxa"/>
            <w:noWrap w:val="0"/>
            <w:vAlign w:val="center"/>
          </w:tcPr>
          <w:p w14:paraId="0CD51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637" w:type="dxa"/>
            <w:noWrap w:val="0"/>
            <w:vAlign w:val="center"/>
          </w:tcPr>
          <w:p w14:paraId="57F9C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014600000030000</w:t>
            </w:r>
          </w:p>
        </w:tc>
        <w:tc>
          <w:tcPr>
            <w:tcW w:w="1413" w:type="dxa"/>
            <w:noWrap w:val="0"/>
            <w:vAlign w:val="center"/>
          </w:tcPr>
          <w:p w14:paraId="66AF4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中医烙法</w:t>
            </w:r>
          </w:p>
        </w:tc>
        <w:tc>
          <w:tcPr>
            <w:tcW w:w="1212" w:type="dxa"/>
            <w:vMerge w:val="restart"/>
            <w:noWrap w:val="0"/>
            <w:vAlign w:val="center"/>
          </w:tcPr>
          <w:p w14:paraId="138E9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通过烙具烙烫病变部位，起到缓解症状或治疗疾病的作用。</w:t>
            </w:r>
          </w:p>
        </w:tc>
        <w:tc>
          <w:tcPr>
            <w:tcW w:w="1888" w:type="dxa"/>
            <w:vMerge w:val="restart"/>
            <w:noWrap w:val="0"/>
            <w:vAlign w:val="center"/>
          </w:tcPr>
          <w:p w14:paraId="43DFB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所定价格涵盖定位、消毒、烙烫等人力资源和基本物质资源消耗。</w:t>
            </w:r>
          </w:p>
        </w:tc>
        <w:tc>
          <w:tcPr>
            <w:tcW w:w="1025" w:type="dxa"/>
            <w:vMerge w:val="restart"/>
            <w:noWrap w:val="0"/>
            <w:vAlign w:val="center"/>
          </w:tcPr>
          <w:p w14:paraId="55C75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01儿童</w:t>
            </w:r>
          </w:p>
        </w:tc>
        <w:tc>
          <w:tcPr>
            <w:tcW w:w="437" w:type="dxa"/>
            <w:vMerge w:val="restart"/>
            <w:noWrap w:val="0"/>
            <w:vAlign w:val="center"/>
          </w:tcPr>
          <w:p w14:paraId="65DC7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noWrap w:val="0"/>
            <w:vAlign w:val="center"/>
          </w:tcPr>
          <w:p w14:paraId="6FF3C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937" w:type="dxa"/>
            <w:noWrap w:val="0"/>
            <w:vAlign w:val="center"/>
          </w:tcPr>
          <w:p w14:paraId="43309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61ADD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862" w:type="dxa"/>
            <w:noWrap w:val="0"/>
            <w:vAlign w:val="center"/>
          </w:tcPr>
          <w:p w14:paraId="7DB0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838" w:type="dxa"/>
            <w:noWrap w:val="0"/>
            <w:vAlign w:val="center"/>
          </w:tcPr>
          <w:p w14:paraId="7DBA8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900" w:type="dxa"/>
            <w:noWrap w:val="0"/>
            <w:vAlign w:val="center"/>
          </w:tcPr>
          <w:p w14:paraId="61299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650" w:type="dxa"/>
            <w:noWrap w:val="0"/>
            <w:vAlign w:val="center"/>
          </w:tcPr>
          <w:p w14:paraId="267C6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甲类</w:t>
            </w:r>
          </w:p>
        </w:tc>
        <w:tc>
          <w:tcPr>
            <w:tcW w:w="657" w:type="dxa"/>
            <w:noWrap w:val="0"/>
            <w:vAlign w:val="center"/>
          </w:tcPr>
          <w:p w14:paraId="57B28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</w:tr>
      <w:tr w14:paraId="7B383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482" w:type="dxa"/>
            <w:noWrap w:val="0"/>
            <w:vAlign w:val="center"/>
          </w:tcPr>
          <w:p w14:paraId="242E7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637" w:type="dxa"/>
            <w:noWrap w:val="0"/>
            <w:vAlign w:val="center"/>
          </w:tcPr>
          <w:p w14:paraId="7D65C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014600000030001</w:t>
            </w:r>
          </w:p>
        </w:tc>
        <w:tc>
          <w:tcPr>
            <w:tcW w:w="1413" w:type="dxa"/>
            <w:noWrap w:val="0"/>
            <w:vAlign w:val="center"/>
          </w:tcPr>
          <w:p w14:paraId="20E43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中医烙法一儿童(加收30%)</w:t>
            </w:r>
          </w:p>
        </w:tc>
        <w:tc>
          <w:tcPr>
            <w:tcW w:w="1212" w:type="dxa"/>
            <w:vMerge w:val="continue"/>
            <w:noWrap w:val="0"/>
            <w:vAlign w:val="center"/>
          </w:tcPr>
          <w:p w14:paraId="7048E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Merge w:val="continue"/>
            <w:noWrap w:val="0"/>
            <w:vAlign w:val="center"/>
          </w:tcPr>
          <w:p w14:paraId="2F639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vMerge w:val="continue"/>
            <w:noWrap w:val="0"/>
            <w:vAlign w:val="center"/>
          </w:tcPr>
          <w:p w14:paraId="507B3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Merge w:val="continue"/>
            <w:noWrap w:val="0"/>
            <w:vAlign w:val="center"/>
          </w:tcPr>
          <w:p w14:paraId="497B7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noWrap w:val="0"/>
            <w:vAlign w:val="center"/>
          </w:tcPr>
          <w:p w14:paraId="47826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937" w:type="dxa"/>
            <w:noWrap w:val="0"/>
            <w:vAlign w:val="center"/>
          </w:tcPr>
          <w:p w14:paraId="08497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59007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862" w:type="dxa"/>
            <w:noWrap w:val="0"/>
            <w:vAlign w:val="center"/>
          </w:tcPr>
          <w:p w14:paraId="3659B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838" w:type="dxa"/>
            <w:noWrap w:val="0"/>
            <w:vAlign w:val="center"/>
          </w:tcPr>
          <w:p w14:paraId="26E93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900" w:type="dxa"/>
            <w:noWrap w:val="0"/>
            <w:vAlign w:val="center"/>
          </w:tcPr>
          <w:p w14:paraId="738D7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650" w:type="dxa"/>
            <w:noWrap w:val="0"/>
            <w:vAlign w:val="center"/>
          </w:tcPr>
          <w:p w14:paraId="4CAA4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甲类</w:t>
            </w:r>
          </w:p>
        </w:tc>
        <w:tc>
          <w:tcPr>
            <w:tcW w:w="657" w:type="dxa"/>
            <w:noWrap w:val="0"/>
            <w:vAlign w:val="center"/>
          </w:tcPr>
          <w:p w14:paraId="3AD91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</w:tr>
      <w:tr w14:paraId="5E6EA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3" w:hRule="atLeast"/>
        </w:trPr>
        <w:tc>
          <w:tcPr>
            <w:tcW w:w="482" w:type="dxa"/>
            <w:noWrap w:val="0"/>
            <w:vAlign w:val="center"/>
          </w:tcPr>
          <w:p w14:paraId="7B498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637" w:type="dxa"/>
            <w:noWrap w:val="0"/>
            <w:vAlign w:val="center"/>
          </w:tcPr>
          <w:p w14:paraId="1EB8B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014600000040000</w:t>
            </w:r>
          </w:p>
        </w:tc>
        <w:tc>
          <w:tcPr>
            <w:tcW w:w="1413" w:type="dxa"/>
            <w:noWrap w:val="0"/>
            <w:vAlign w:val="center"/>
          </w:tcPr>
          <w:p w14:paraId="1E341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白内障针拨术</w:t>
            </w:r>
          </w:p>
        </w:tc>
        <w:tc>
          <w:tcPr>
            <w:tcW w:w="1212" w:type="dxa"/>
            <w:noWrap w:val="0"/>
            <w:vAlign w:val="center"/>
          </w:tcPr>
          <w:p w14:paraId="1C28B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通过拨障针摘除晶状体混浊部分。</w:t>
            </w:r>
          </w:p>
        </w:tc>
        <w:tc>
          <w:tcPr>
            <w:tcW w:w="1888" w:type="dxa"/>
            <w:noWrap w:val="0"/>
            <w:vAlign w:val="center"/>
          </w:tcPr>
          <w:p w14:paraId="6BC76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所定价格涵盖散瞳、消毒、开睑、切口、拨障针拨断晶状体悬韧带、晶体压入玻璃体腔、出针、闭合切口、包扎等人力资源和基本物质资源消耗。</w:t>
            </w:r>
          </w:p>
        </w:tc>
        <w:tc>
          <w:tcPr>
            <w:tcW w:w="1025" w:type="dxa"/>
            <w:noWrap w:val="0"/>
            <w:vAlign w:val="center"/>
          </w:tcPr>
          <w:p w14:paraId="301A0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noWrap w:val="0"/>
            <w:vAlign w:val="center"/>
          </w:tcPr>
          <w:p w14:paraId="34554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noWrap w:val="0"/>
            <w:vAlign w:val="center"/>
          </w:tcPr>
          <w:p w14:paraId="15420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单眼</w:t>
            </w:r>
          </w:p>
        </w:tc>
        <w:tc>
          <w:tcPr>
            <w:tcW w:w="1937" w:type="dxa"/>
            <w:noWrap w:val="0"/>
            <w:vAlign w:val="center"/>
          </w:tcPr>
          <w:p w14:paraId="6883A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176A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747</w:t>
            </w:r>
          </w:p>
        </w:tc>
        <w:tc>
          <w:tcPr>
            <w:tcW w:w="862" w:type="dxa"/>
            <w:noWrap w:val="0"/>
            <w:vAlign w:val="center"/>
          </w:tcPr>
          <w:p w14:paraId="46E51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672</w:t>
            </w:r>
          </w:p>
        </w:tc>
        <w:tc>
          <w:tcPr>
            <w:tcW w:w="838" w:type="dxa"/>
            <w:noWrap w:val="0"/>
            <w:vAlign w:val="center"/>
          </w:tcPr>
          <w:p w14:paraId="35D8B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605</w:t>
            </w:r>
          </w:p>
        </w:tc>
        <w:tc>
          <w:tcPr>
            <w:tcW w:w="900" w:type="dxa"/>
            <w:noWrap w:val="0"/>
            <w:vAlign w:val="center"/>
          </w:tcPr>
          <w:p w14:paraId="03755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484 </w:t>
            </w:r>
          </w:p>
        </w:tc>
        <w:tc>
          <w:tcPr>
            <w:tcW w:w="650" w:type="dxa"/>
            <w:noWrap w:val="0"/>
            <w:vAlign w:val="center"/>
          </w:tcPr>
          <w:p w14:paraId="4C7B9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甲类</w:t>
            </w:r>
          </w:p>
        </w:tc>
        <w:tc>
          <w:tcPr>
            <w:tcW w:w="657" w:type="dxa"/>
            <w:noWrap w:val="0"/>
            <w:vAlign w:val="center"/>
          </w:tcPr>
          <w:p w14:paraId="6BDA6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</w:tr>
      <w:tr w14:paraId="4ED3E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82" w:type="dxa"/>
            <w:noWrap w:val="0"/>
            <w:vAlign w:val="center"/>
          </w:tcPr>
          <w:p w14:paraId="0A325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1637" w:type="dxa"/>
            <w:noWrap w:val="0"/>
            <w:vAlign w:val="center"/>
          </w:tcPr>
          <w:p w14:paraId="3F2B40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项</w:t>
            </w: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目</w:t>
            </w:r>
            <w:bookmarkEnd w:id="0"/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编码</w:t>
            </w:r>
          </w:p>
        </w:tc>
        <w:tc>
          <w:tcPr>
            <w:tcW w:w="1413" w:type="dxa"/>
            <w:noWrap w:val="0"/>
            <w:vAlign w:val="center"/>
          </w:tcPr>
          <w:p w14:paraId="63740E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212" w:type="dxa"/>
            <w:noWrap w:val="0"/>
            <w:vAlign w:val="center"/>
          </w:tcPr>
          <w:p w14:paraId="597E0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服务</w:t>
            </w:r>
          </w:p>
          <w:p w14:paraId="69173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产出</w:t>
            </w:r>
          </w:p>
        </w:tc>
        <w:tc>
          <w:tcPr>
            <w:tcW w:w="1888" w:type="dxa"/>
            <w:noWrap w:val="0"/>
            <w:vAlign w:val="center"/>
          </w:tcPr>
          <w:p w14:paraId="592903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价格构成</w:t>
            </w:r>
          </w:p>
        </w:tc>
        <w:tc>
          <w:tcPr>
            <w:tcW w:w="1025" w:type="dxa"/>
            <w:noWrap w:val="0"/>
            <w:vAlign w:val="center"/>
          </w:tcPr>
          <w:p w14:paraId="26693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加收项</w:t>
            </w:r>
          </w:p>
        </w:tc>
        <w:tc>
          <w:tcPr>
            <w:tcW w:w="437" w:type="dxa"/>
            <w:noWrap w:val="0"/>
            <w:vAlign w:val="center"/>
          </w:tcPr>
          <w:p w14:paraId="419F0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扩展项</w:t>
            </w:r>
          </w:p>
        </w:tc>
        <w:tc>
          <w:tcPr>
            <w:tcW w:w="826" w:type="dxa"/>
            <w:noWrap w:val="0"/>
            <w:vAlign w:val="center"/>
          </w:tcPr>
          <w:p w14:paraId="2AAD72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计价</w:t>
            </w:r>
          </w:p>
          <w:p w14:paraId="18CBCF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单位</w:t>
            </w:r>
          </w:p>
        </w:tc>
        <w:tc>
          <w:tcPr>
            <w:tcW w:w="1937" w:type="dxa"/>
            <w:noWrap w:val="0"/>
            <w:vAlign w:val="center"/>
          </w:tcPr>
          <w:p w14:paraId="47D4F1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计价说明</w:t>
            </w:r>
          </w:p>
        </w:tc>
        <w:tc>
          <w:tcPr>
            <w:tcW w:w="850" w:type="dxa"/>
            <w:noWrap w:val="0"/>
            <w:vAlign w:val="center"/>
          </w:tcPr>
          <w:p w14:paraId="5F18C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市一类价格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862" w:type="dxa"/>
            <w:noWrap w:val="0"/>
            <w:vAlign w:val="center"/>
          </w:tcPr>
          <w:p w14:paraId="17C6E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市二类价格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838" w:type="dxa"/>
            <w:noWrap w:val="0"/>
            <w:vAlign w:val="center"/>
          </w:tcPr>
          <w:p w14:paraId="7F466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市三类价格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900" w:type="dxa"/>
            <w:noWrap w:val="0"/>
            <w:vAlign w:val="center"/>
          </w:tcPr>
          <w:p w14:paraId="00C3F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市基层价格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650" w:type="dxa"/>
            <w:noWrap w:val="0"/>
            <w:vAlign w:val="center"/>
          </w:tcPr>
          <w:p w14:paraId="7E9CE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支付分类</w:t>
            </w:r>
          </w:p>
        </w:tc>
        <w:tc>
          <w:tcPr>
            <w:tcW w:w="657" w:type="dxa"/>
            <w:noWrap w:val="0"/>
            <w:vAlign w:val="center"/>
          </w:tcPr>
          <w:p w14:paraId="64D393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自付比例</w:t>
            </w:r>
          </w:p>
        </w:tc>
      </w:tr>
      <w:tr w14:paraId="1E149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dxa"/>
            <w:noWrap w:val="0"/>
            <w:vAlign w:val="center"/>
          </w:tcPr>
          <w:p w14:paraId="4F484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637" w:type="dxa"/>
            <w:noWrap w:val="0"/>
            <w:vAlign w:val="center"/>
          </w:tcPr>
          <w:p w14:paraId="72AA8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014600000050000</w:t>
            </w:r>
          </w:p>
        </w:tc>
        <w:tc>
          <w:tcPr>
            <w:tcW w:w="1413" w:type="dxa"/>
            <w:noWrap w:val="0"/>
            <w:vAlign w:val="center"/>
          </w:tcPr>
          <w:p w14:paraId="45E06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足底反射疗法</w:t>
            </w:r>
          </w:p>
        </w:tc>
        <w:tc>
          <w:tcPr>
            <w:tcW w:w="1212" w:type="dxa"/>
            <w:noWrap w:val="0"/>
            <w:vAlign w:val="center"/>
          </w:tcPr>
          <w:p w14:paraId="1363B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通过手法对足部反射区进行刺激，起到缓解症状或治疗疾病的作用。</w:t>
            </w:r>
          </w:p>
        </w:tc>
        <w:tc>
          <w:tcPr>
            <w:tcW w:w="1888" w:type="dxa"/>
            <w:noWrap w:val="0"/>
            <w:vAlign w:val="center"/>
          </w:tcPr>
          <w:p w14:paraId="381A0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所定价格涵盖泡洗、定位、穴位刺激等人力资源和基本物质资源消耗。</w:t>
            </w:r>
          </w:p>
        </w:tc>
        <w:tc>
          <w:tcPr>
            <w:tcW w:w="1025" w:type="dxa"/>
            <w:noWrap w:val="0"/>
            <w:vAlign w:val="center"/>
          </w:tcPr>
          <w:p w14:paraId="79C14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noWrap w:val="0"/>
            <w:vAlign w:val="center"/>
          </w:tcPr>
          <w:p w14:paraId="30E12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noWrap w:val="0"/>
            <w:vAlign w:val="center"/>
          </w:tcPr>
          <w:p w14:paraId="09986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937" w:type="dxa"/>
            <w:noWrap w:val="0"/>
            <w:vAlign w:val="center"/>
          </w:tcPr>
          <w:p w14:paraId="5A32E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不与中医推拿同时收费。</w:t>
            </w:r>
          </w:p>
        </w:tc>
        <w:tc>
          <w:tcPr>
            <w:tcW w:w="850" w:type="dxa"/>
            <w:noWrap w:val="0"/>
            <w:vAlign w:val="center"/>
          </w:tcPr>
          <w:p w14:paraId="22791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862" w:type="dxa"/>
            <w:noWrap w:val="0"/>
            <w:vAlign w:val="center"/>
          </w:tcPr>
          <w:p w14:paraId="1017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838" w:type="dxa"/>
            <w:noWrap w:val="0"/>
            <w:vAlign w:val="center"/>
          </w:tcPr>
          <w:p w14:paraId="3E2D0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00" w:type="dxa"/>
            <w:noWrap w:val="0"/>
            <w:vAlign w:val="center"/>
          </w:tcPr>
          <w:p w14:paraId="263B8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650" w:type="dxa"/>
            <w:noWrap w:val="0"/>
            <w:vAlign w:val="center"/>
          </w:tcPr>
          <w:p w14:paraId="627AB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丙类</w:t>
            </w:r>
          </w:p>
        </w:tc>
        <w:tc>
          <w:tcPr>
            <w:tcW w:w="657" w:type="dxa"/>
            <w:noWrap w:val="0"/>
            <w:vAlign w:val="center"/>
          </w:tcPr>
          <w:p w14:paraId="2FB7A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 w14:paraId="42D86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dxa"/>
            <w:noWrap w:val="0"/>
            <w:vAlign w:val="center"/>
          </w:tcPr>
          <w:p w14:paraId="06131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37" w:type="dxa"/>
            <w:noWrap w:val="0"/>
            <w:vAlign w:val="center"/>
          </w:tcPr>
          <w:p w14:paraId="1CD15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014600000060000</w:t>
            </w:r>
          </w:p>
        </w:tc>
        <w:tc>
          <w:tcPr>
            <w:tcW w:w="1413" w:type="dxa"/>
            <w:noWrap w:val="0"/>
            <w:vAlign w:val="center"/>
          </w:tcPr>
          <w:p w14:paraId="09D69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红皮病清消治疗</w:t>
            </w:r>
          </w:p>
        </w:tc>
        <w:tc>
          <w:tcPr>
            <w:tcW w:w="1212" w:type="dxa"/>
            <w:noWrap w:val="0"/>
            <w:vAlign w:val="center"/>
          </w:tcPr>
          <w:p w14:paraId="06455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针对红皮病病变部位进行清创处理、中药外敷，起到促进皮损愈合的作用。</w:t>
            </w:r>
          </w:p>
        </w:tc>
        <w:tc>
          <w:tcPr>
            <w:tcW w:w="1888" w:type="dxa"/>
            <w:noWrap w:val="0"/>
            <w:vAlign w:val="center"/>
          </w:tcPr>
          <w:p w14:paraId="3D445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所定价格涵盖消毒、清创、敷药、包扎等人力资源和基本物质资源消耗。</w:t>
            </w:r>
          </w:p>
        </w:tc>
        <w:tc>
          <w:tcPr>
            <w:tcW w:w="1025" w:type="dxa"/>
            <w:noWrap w:val="0"/>
            <w:vAlign w:val="center"/>
          </w:tcPr>
          <w:p w14:paraId="53119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noWrap w:val="0"/>
            <w:vAlign w:val="center"/>
          </w:tcPr>
          <w:p w14:paraId="4AC44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noWrap w:val="0"/>
            <w:vAlign w:val="center"/>
          </w:tcPr>
          <w:p w14:paraId="2E2F6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937" w:type="dxa"/>
            <w:noWrap w:val="0"/>
            <w:vAlign w:val="center"/>
          </w:tcPr>
          <w:p w14:paraId="25C20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76A2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862" w:type="dxa"/>
            <w:noWrap w:val="0"/>
            <w:vAlign w:val="center"/>
          </w:tcPr>
          <w:p w14:paraId="6DB7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838" w:type="dxa"/>
            <w:noWrap w:val="0"/>
            <w:vAlign w:val="center"/>
          </w:tcPr>
          <w:p w14:paraId="0D4AF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900" w:type="dxa"/>
            <w:noWrap w:val="0"/>
            <w:vAlign w:val="center"/>
          </w:tcPr>
          <w:p w14:paraId="1FF2A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650" w:type="dxa"/>
            <w:noWrap w:val="0"/>
            <w:vAlign w:val="center"/>
          </w:tcPr>
          <w:p w14:paraId="75E8E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甲类</w:t>
            </w:r>
          </w:p>
        </w:tc>
        <w:tc>
          <w:tcPr>
            <w:tcW w:w="657" w:type="dxa"/>
            <w:noWrap w:val="0"/>
            <w:vAlign w:val="center"/>
          </w:tcPr>
          <w:p w14:paraId="29219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</w:tr>
      <w:tr w14:paraId="00C62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4" w:type="dxa"/>
            <w:gridSpan w:val="15"/>
            <w:noWrap w:val="0"/>
            <w:vAlign w:val="center"/>
          </w:tcPr>
          <w:p w14:paraId="5A665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使用说明:</w:t>
            </w:r>
          </w:p>
          <w:p w14:paraId="52A6B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本指南以中医特殊疗法为重点，按照中医特殊疗法治疗方式的服务产出设立价格项目。根据《深化医疗服务价格改革试点方案》（医保发〔2021〕41号）“厘清价格项目与临床诊疗技术规范、医疗机构成本要素、不同应用场景和收费标准等的政策边界。分类整合现行价格项目，实现价格项目与操作步骤、诊疗部位等技术细节脱钩，增强现行价格项目对医疗技术和医疗活动改良创新的兼容性”要求，各类中医特殊疗法类项目在操作层面存在差异，但在价格项目和定价水平层面具备合并同类项的条件，立项指南对目前常用的中医特殊疗法类项目进行了合并。立项指南所定价格属于政府指导价为最高限价，下浮不限；同时，医疗机构、医务人员实施中医特殊疗法过程中有关创新改良，申报新增医疗服务价格项目的，采取“现有项目兼容”的方式简化处理，按照对应的立项指南项目执行。地方价格政策与《全国医疗服务价格规范》不一致时，医疗机构收费依据应以当地价格政策为准。</w:t>
            </w:r>
          </w:p>
          <w:p w14:paraId="7ECE6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本指南所称的“价格构成”，指项目价格应涵盖的各类资源消耗，用于确定计价单元的边界，是各级医疗保障部门制定调整项目价格考虑的测算因子，不应作为临床技术标准理解，不是实际操作方式、路径、步骤、程序的强制性要求，价格构成中包含，但个别临床实践中非必要、未发生的，无需强制要求公立医疗机构减计费用。所列“设备投入”包括但不限于操作设备、器具及固定资产投入。</w:t>
            </w:r>
          </w:p>
          <w:p w14:paraId="0910C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本指南所称“加收项”，指同一项目以不同方式提供或在不同场景应用时，确有必要制定差异化收费标准而细分的一类子项，包括在原项目价格基础上增加或减少收费的情况，实际应用中，同时涉及多个加收项的，以项目单价为基础计算各项的加/减收水平后，求和得出加/减收金额。</w:t>
            </w:r>
          </w:p>
          <w:p w14:paraId="6E101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4.本指南所称“扩展项”，指同一项目下以不同方式提供或在不同场景应用时，只扩展价格项目适用范围、不额外加价的一类子项，子项的价格按主项目执行。</w:t>
            </w:r>
          </w:p>
          <w:p w14:paraId="63934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本指南所称“基本物耗”指原则上限于不应或不必要与医疗服务项目分割的易耗品，包括但不限于各类消杀灭菌用品、标签、储存用品、清洁用品、个人防护用品、垃圾处理用品、冲洗液、润滑剂、棉球、棉签、纱布（垫）、护（尿）垫、手术巾（单）、治疗巾（单）、中单、治疗护理盘(包）、手术包、注射器、防渗漏垫、悬吊巾、压垫、棉垫、可复用的操作器具、各种针具刀具等。基本物耗成本计入项目价格，不另行收费。除基本物耗以外的其他耗材，立项指南落地前价格项目除外内容的可收费医用耗材，按照实际采购价格零差率另行收费。</w:t>
            </w:r>
          </w:p>
          <w:p w14:paraId="3551F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6.本指南所称的“儿童”指6周岁及以下，周岁的计算方法以法律的相关规定为准。</w:t>
            </w:r>
          </w:p>
          <w:p w14:paraId="7B0F5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7.本指南中涉及“包括……”“……等”的，属于开放型表述，所指对象不仅局限于表述中列明的事项，也包括未列明的同类事项。</w:t>
            </w:r>
          </w:p>
        </w:tc>
      </w:tr>
    </w:tbl>
    <w:p w14:paraId="3B13EA4E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31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2025-10-13T08:08:08Z</dcterms:created>
  <dc:creator>Administrator</dc:creator>
  <cp:lastModifiedBy>旋子！</cp:lastModifiedBy>
  <dcterms:modified xsi:type="dcterms:W3CDTF">2025-10-13T08:08:29Z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eyJoZGlkIjoiMmIwMTI4NjAyZmE1ZGZkYzExMDNmYWFiZTMzYjdmNjciLCJ1c2VySWQiOiI0NTcwMDExODYifQ==</vt:lpwstr>
  </property>
  <property fmtid="{D5CDD505-2E9C-101B-9397-08002B2CF9AE}" pid="4" name="ICV">
    <vt:lpwstr>2E943853785B460CB7F18E0561363AB5_12</vt:lpwstr>
  </property>
</Properties>
</file>