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AB2E6">
      <w:pPr>
        <w:pStyle w:val="3"/>
        <w:widowControl/>
        <w:wordWrap w:val="0"/>
        <w:spacing w:beforeAutospacing="0" w:afterAutospacing="0" w:line="360" w:lineRule="exact"/>
        <w:rPr>
          <w:rFonts w:hint="eastAsia" w:ascii="黑体" w:hAnsi="黑体" w:eastAsia="黑体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仿宋_GB2312"/>
          <w:sz w:val="32"/>
          <w:szCs w:val="32"/>
        </w:rPr>
        <w:t>附件3-</w:t>
      </w: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1</w:t>
      </w:r>
    </w:p>
    <w:p w14:paraId="5A20A87F">
      <w:pPr>
        <w:spacing w:after="156" w:afterLines="50" w:line="560" w:lineRule="exact"/>
        <w:jc w:val="center"/>
        <w:rPr>
          <w:rFonts w:hint="eastAsia" w:ascii="方正小标宋_GBK" w:hAnsi="仿宋_GB2312" w:eastAsia="方正小标宋_GBK" w:cs="仿宋_GB2312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仿宋_GB2312" w:eastAsia="方正小标宋_GBK" w:cs="仿宋_GB2312"/>
          <w:kern w:val="0"/>
          <w:sz w:val="44"/>
          <w:szCs w:val="44"/>
        </w:rPr>
        <w:t>常德市</w:t>
      </w:r>
      <w:r>
        <w:rPr>
          <w:rFonts w:hint="eastAsia" w:ascii="方正小标宋_GBK" w:hAnsi="仿宋_GB2312" w:eastAsia="方正小标宋_GBK" w:cs="仿宋_GB2312"/>
          <w:kern w:val="0"/>
          <w:sz w:val="44"/>
          <w:szCs w:val="44"/>
          <w:lang w:val="en-US" w:eastAsia="zh-CN"/>
        </w:rPr>
        <w:t>院前急救费价格调整表</w:t>
      </w:r>
    </w:p>
    <w:p w14:paraId="27CBEE0B">
      <w:pPr>
        <w:spacing w:after="156" w:afterLines="50" w:line="560" w:lineRule="exact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注：综合诊查类医疗服务项目自立项指南落地开始，已纳入通用型项目管理。</w:t>
      </w:r>
    </w:p>
    <w:tbl>
      <w:tblPr>
        <w:tblStyle w:val="4"/>
        <w:tblW w:w="15398" w:type="dxa"/>
        <w:jc w:val="center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1631"/>
        <w:gridCol w:w="1455"/>
        <w:gridCol w:w="1798"/>
        <w:gridCol w:w="2085"/>
        <w:gridCol w:w="675"/>
        <w:gridCol w:w="675"/>
        <w:gridCol w:w="555"/>
        <w:gridCol w:w="1875"/>
        <w:gridCol w:w="720"/>
        <w:gridCol w:w="765"/>
        <w:gridCol w:w="765"/>
        <w:gridCol w:w="720"/>
        <w:gridCol w:w="615"/>
        <w:gridCol w:w="626"/>
      </w:tblGrid>
      <w:tr w14:paraId="370D5BF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9B13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AAC4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60D7B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E768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81B27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1CE8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加收项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D720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770F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B41984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</w:p>
          <w:p w14:paraId="66BD87D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说明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0E35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EB9AE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8D4F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CBAC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市基层价格（元）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ABE3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支付分类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105E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自付比例</w:t>
            </w:r>
          </w:p>
        </w:tc>
      </w:tr>
      <w:tr w14:paraId="794A3BE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72D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19F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011103000010000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D8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院前急救费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1CB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针对急危重症患者，  医护人员制定抢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救方案，在院前组织开展现场紧急救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治。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A68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所定价格涵盖组织人员、观察、实施抢救、监测生命体征、记录、制定方案等所需的人力资源和基本物质资源消耗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F14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bottom"/>
          </w:tcPr>
          <w:p w14:paraId="32365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6A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9C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 院前”指以物理空间为分界标准。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5C8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 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BC4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 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930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98B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 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B81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甲类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A64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0%</w:t>
            </w:r>
          </w:p>
        </w:tc>
      </w:tr>
    </w:tbl>
    <w:p w14:paraId="7CD0AF36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14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2026-09-07T09:53:23Z</dcterms:created>
  <dc:creator>Administrator</dc:creator>
  <cp:lastModifiedBy>旋子！</cp:lastModifiedBy>
  <dcterms:modified xsi:type="dcterms:W3CDTF">2026-09-07T09:53:31Z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eyJoZGlkIjoiMmIwMTI4NjAyZmE1ZGZkYzExMDNmYWFiZTMzYjdmNjciLCJ1c2VySWQiOiI0NTcwMDExODYifQ==</vt:lpwstr>
  </property>
  <property fmtid="{D5CDD505-2E9C-101B-9397-08002B2CF9AE}" pid="4" name="ICV">
    <vt:lpwstr>57F362201F4F4C21A2439828E4586805_12</vt:lpwstr>
  </property>
</Properties>
</file>