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62BBE">
      <w:pPr>
        <w:spacing w:line="320" w:lineRule="exact"/>
        <w:rPr>
          <w:rFonts w:ascii="黑体" w:hAnsi="黑体" w:eastAsia="黑体" w:cs="仿宋_GB2312"/>
          <w:kern w:val="0"/>
          <w:sz w:val="32"/>
          <w:szCs w:val="32"/>
        </w:rPr>
      </w:pPr>
      <w:r>
        <w:rPr>
          <w:rFonts w:hint="eastAsia" w:ascii="黑体" w:hAnsi="黑体" w:eastAsia="黑体" w:cs="仿宋_GB2312"/>
          <w:kern w:val="0"/>
          <w:sz w:val="32"/>
          <w:szCs w:val="32"/>
        </w:rPr>
        <w:t>附件1-2</w:t>
      </w:r>
    </w:p>
    <w:p w14:paraId="76F89D77">
      <w:pPr>
        <w:spacing w:after="156" w:afterLines="50" w:line="560" w:lineRule="exact"/>
        <w:jc w:val="center"/>
        <w:rPr>
          <w:rFonts w:hint="eastAsia" w:ascii="方正小标宋_GBK" w:hAnsi="仿宋_GB2312" w:eastAsia="方正小标宋_GBK" w:cs="仿宋_GB2312"/>
          <w:kern w:val="0"/>
          <w:sz w:val="44"/>
          <w:szCs w:val="44"/>
          <w:lang w:eastAsia="zh-CN"/>
        </w:rPr>
      </w:pPr>
      <w:r>
        <w:rPr>
          <w:rFonts w:hint="eastAsia" w:ascii="方正小标宋_GBK" w:hAnsi="仿宋_GB2312" w:eastAsia="方正小标宋_GBK" w:cs="仿宋_GB2312"/>
          <w:kern w:val="0"/>
          <w:sz w:val="44"/>
          <w:szCs w:val="44"/>
        </w:rPr>
        <w:t>常德市</w:t>
      </w:r>
      <w:r>
        <w:rPr>
          <w:rFonts w:hint="eastAsia" w:ascii="方正小标宋_GBK" w:hAnsi="仿宋_GB2312" w:eastAsia="方正小标宋_GBK" w:cs="仿宋_GB2312"/>
          <w:kern w:val="0"/>
          <w:sz w:val="44"/>
          <w:szCs w:val="44"/>
          <w:lang w:val="en-US" w:eastAsia="zh-CN"/>
        </w:rPr>
        <w:t>药学</w:t>
      </w:r>
      <w:r>
        <w:rPr>
          <w:rFonts w:hint="eastAsia" w:ascii="方正小标宋_GBK" w:hAnsi="仿宋_GB2312" w:eastAsia="方正小标宋_GBK" w:cs="仿宋_GB2312"/>
          <w:kern w:val="0"/>
          <w:sz w:val="44"/>
          <w:szCs w:val="44"/>
        </w:rPr>
        <w:t>类</w:t>
      </w:r>
      <w:r>
        <w:rPr>
          <w:rFonts w:hint="eastAsia" w:ascii="方正小标宋_GBK" w:hAnsi="仿宋_GB2312" w:eastAsia="方正小标宋_GBK" w:cs="仿宋_GB2312"/>
          <w:kern w:val="0"/>
          <w:sz w:val="44"/>
          <w:szCs w:val="44"/>
          <w:lang w:val="en-US" w:eastAsia="zh-CN"/>
        </w:rPr>
        <w:t>复杂型</w:t>
      </w:r>
      <w:r>
        <w:rPr>
          <w:rFonts w:hint="eastAsia" w:ascii="方正小标宋_GBK" w:hAnsi="仿宋_GB2312" w:eastAsia="方正小标宋_GBK" w:cs="仿宋_GB2312"/>
          <w:kern w:val="0"/>
          <w:sz w:val="44"/>
          <w:szCs w:val="44"/>
        </w:rPr>
        <w:t>医疗服务项目</w:t>
      </w:r>
      <w:r>
        <w:rPr>
          <w:rFonts w:hint="eastAsia" w:ascii="方正小标宋_GBK" w:hAnsi="仿宋_GB2312" w:eastAsia="方正小标宋_GBK" w:cs="仿宋_GB2312"/>
          <w:kern w:val="0"/>
          <w:sz w:val="44"/>
          <w:szCs w:val="44"/>
          <w:lang w:val="en-US" w:eastAsia="zh-CN"/>
        </w:rPr>
        <w:t>价格</w:t>
      </w:r>
      <w:r>
        <w:rPr>
          <w:rFonts w:hint="eastAsia" w:ascii="方正小标宋_GBK" w:hAnsi="仿宋_GB2312" w:eastAsia="方正小标宋_GBK" w:cs="仿宋_GB2312"/>
          <w:kern w:val="0"/>
          <w:sz w:val="44"/>
          <w:szCs w:val="44"/>
        </w:rPr>
        <w:t>表</w:t>
      </w:r>
      <w:r>
        <w:rPr>
          <w:rFonts w:hint="eastAsia" w:ascii="方正小标宋_GBK" w:hAnsi="仿宋_GB2312" w:eastAsia="方正小标宋_GBK" w:cs="仿宋_GB2312"/>
          <w:kern w:val="0"/>
          <w:sz w:val="44"/>
          <w:szCs w:val="44"/>
          <w:lang w:eastAsia="zh-CN"/>
        </w:rPr>
        <w:t>（</w:t>
      </w:r>
      <w:r>
        <w:rPr>
          <w:rFonts w:hint="eastAsia" w:ascii="方正小标宋_GBK" w:hAnsi="仿宋_GB2312" w:eastAsia="方正小标宋_GBK" w:cs="仿宋_GB2312"/>
          <w:kern w:val="0"/>
          <w:sz w:val="44"/>
          <w:szCs w:val="44"/>
          <w:lang w:val="en-US" w:eastAsia="zh-CN"/>
        </w:rPr>
        <w:t>续</w:t>
      </w:r>
      <w:r>
        <w:rPr>
          <w:rFonts w:hint="eastAsia" w:ascii="方正小标宋_GBK" w:hAnsi="仿宋_GB2312" w:eastAsia="方正小标宋_GBK" w:cs="仿宋_GB2312"/>
          <w:kern w:val="0"/>
          <w:sz w:val="44"/>
          <w:szCs w:val="44"/>
          <w:lang w:eastAsia="zh-CN"/>
        </w:rPr>
        <w:t>）</w:t>
      </w:r>
    </w:p>
    <w:tbl>
      <w:tblPr>
        <w:tblStyle w:val="4"/>
        <w:tblW w:w="15398"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438"/>
        <w:gridCol w:w="1631"/>
        <w:gridCol w:w="1455"/>
        <w:gridCol w:w="2098"/>
        <w:gridCol w:w="1980"/>
        <w:gridCol w:w="735"/>
        <w:gridCol w:w="420"/>
        <w:gridCol w:w="555"/>
        <w:gridCol w:w="1875"/>
        <w:gridCol w:w="720"/>
        <w:gridCol w:w="765"/>
        <w:gridCol w:w="765"/>
        <w:gridCol w:w="720"/>
        <w:gridCol w:w="615"/>
        <w:gridCol w:w="626"/>
      </w:tblGrid>
      <w:tr w14:paraId="24CDCC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462D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C6DF4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8F97B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项目名称</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81D3E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服务产出</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80055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价格构成</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59148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加收项</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49DD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A54E7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649F7B">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2F957EC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26B27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598D60">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6944E4">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8E412A">
            <w:pPr>
              <w:widowControl/>
              <w:spacing w:line="240" w:lineRule="exact"/>
              <w:jc w:val="center"/>
              <w:textAlignment w:val="center"/>
              <w:rPr>
                <w:rStyle w:val="6"/>
                <w:rFonts w:ascii="宋体" w:hAnsi="宋体"/>
                <w:color w:val="auto"/>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0B5C2D">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448DE1">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自付比例</w:t>
            </w:r>
          </w:p>
        </w:tc>
      </w:tr>
      <w:tr w14:paraId="02FBB41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754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5E11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011400000020000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5270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药品集中配置费（肠外营养液）</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5012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按操作规范要求，在静脉药物配置中心集中配置肠外营养液。</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59E6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所定价格涵盖处方审核、药液配置、成品封装等步骤所需的人力资源和基本物质资源消耗。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BB39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F5AF9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DADB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组</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96F3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1.含配置材料和静脉营养袋；2.药厂已配置好的单瓶药物集中调配不收费；3.普通静脉用药集中调配两组（含）以上的，从第二组开始每组按5%计收。</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4963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641A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77</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FDFA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3177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5CA6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F556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75C6FB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B9D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B4C2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011400000030000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420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药品集中配置费（危害药品）</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25E2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按操作规范要求，在静脉药物配置中心集中配置危害药品。</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B600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所定价格涵盖处方审核、药液配置、成品封装等步骤所需的人力资源和基本物质资源消耗。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2A57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8EA49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7CA1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组</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F84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含配置材料</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49D8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399B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B9F9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36</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BC7E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7974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836F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780FFD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5410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F745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011400000040000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06A5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药物浓度测定费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B17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通过各种方式测量待测药物或其代谢物在样本中的具体浓度。</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E069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所定价格涵盖样本签收、处理、定标、质控、检测、审核、登记录入、发送报告等步骤所需的人力资源和基本物质资源消耗。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D93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584C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71C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每种药物</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F4EC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1.超过3种药物按3种收取。2.非免疫抑制剂药物测定减收35%。</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AC06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cs="宋体"/>
                <w:b/>
                <w:bCs/>
                <w:kern w:val="0"/>
                <w:sz w:val="20"/>
                <w:szCs w:val="20"/>
                <w:lang w:val="en-US"/>
              </w:rPr>
            </w:pPr>
            <w:r>
              <w:rPr>
                <w:rFonts w:hint="eastAsia" w:ascii="宋体" w:hAnsi="宋体" w:eastAsia="宋体" w:cs="宋体"/>
                <w:i w:val="0"/>
                <w:iCs w:val="0"/>
                <w:color w:val="000000"/>
                <w:kern w:val="0"/>
                <w:sz w:val="20"/>
                <w:szCs w:val="20"/>
                <w:u w:val="none"/>
                <w:lang w:val="en-US" w:eastAsia="zh-CN" w:bidi="ar"/>
              </w:rPr>
              <w:t>208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6D7A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cs="宋体"/>
                <w:b/>
                <w:bCs/>
                <w:kern w:val="0"/>
                <w:sz w:val="20"/>
                <w:szCs w:val="20"/>
                <w:lang w:val="en-US"/>
              </w:rPr>
            </w:pPr>
            <w:r>
              <w:rPr>
                <w:rFonts w:hint="eastAsia" w:ascii="宋体" w:hAnsi="宋体" w:eastAsia="宋体" w:cs="宋体"/>
                <w:i w:val="0"/>
                <w:iCs w:val="0"/>
                <w:color w:val="000000"/>
                <w:kern w:val="0"/>
                <w:sz w:val="20"/>
                <w:szCs w:val="20"/>
                <w:u w:val="none"/>
                <w:lang w:val="en-US" w:eastAsia="zh-CN" w:bidi="ar"/>
              </w:rPr>
              <w:t>179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DCDA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cs="宋体"/>
                <w:b/>
                <w:bCs/>
                <w:kern w:val="0"/>
                <w:sz w:val="20"/>
                <w:szCs w:val="20"/>
                <w:lang w:val="en-US"/>
              </w:rPr>
            </w:pPr>
            <w:r>
              <w:rPr>
                <w:rFonts w:hint="eastAsia" w:ascii="宋体" w:hAnsi="宋体" w:eastAsia="宋体" w:cs="宋体"/>
                <w:i w:val="0"/>
                <w:iCs w:val="0"/>
                <w:color w:val="000000"/>
                <w:kern w:val="0"/>
                <w:sz w:val="20"/>
                <w:szCs w:val="20"/>
                <w:u w:val="none"/>
                <w:lang w:val="en-US" w:eastAsia="zh-CN" w:bidi="ar"/>
              </w:rPr>
              <w:t>153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F37B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cs="宋体"/>
                <w:b/>
                <w:bCs/>
                <w:kern w:val="0"/>
                <w:sz w:val="20"/>
                <w:szCs w:val="20"/>
                <w:lang w:val="en-US"/>
              </w:rPr>
            </w:pPr>
            <w:r>
              <w:rPr>
                <w:rFonts w:hint="eastAsia" w:ascii="宋体" w:hAnsi="宋体" w:eastAsia="宋体" w:cs="宋体"/>
                <w:i w:val="0"/>
                <w:iCs w:val="0"/>
                <w:color w:val="000000"/>
                <w:kern w:val="0"/>
                <w:sz w:val="20"/>
                <w:szCs w:val="20"/>
                <w:u w:val="none"/>
                <w:lang w:val="en-US" w:eastAsia="zh-CN" w:bidi="ar"/>
              </w:rPr>
              <w:t>122</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6811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75BB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r w14:paraId="1B75D9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03D7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0BC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011400000080000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62E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放射性药物配置费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DE7F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按操作规范要求对放射性药物（核素药物）进行分装。</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AC2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所定价格涵盖处方审核、药物配置、成品封装等步骤以及必要防护所需的人力资源和基本物质资源消耗。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C24CF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6C4A7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47D9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组</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8623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E371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B584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C24B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04A1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88</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4C37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FE1A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lang w:bidi="ar"/>
              </w:rPr>
            </w:pPr>
            <w:r>
              <w:rPr>
                <w:rFonts w:hint="eastAsia" w:ascii="宋体" w:hAnsi="宋体" w:eastAsia="宋体" w:cs="宋体"/>
                <w:i w:val="0"/>
                <w:iCs w:val="0"/>
                <w:color w:val="000000"/>
                <w:kern w:val="0"/>
                <w:sz w:val="20"/>
                <w:szCs w:val="20"/>
                <w:u w:val="none"/>
                <w:lang w:val="en-US" w:eastAsia="zh-CN" w:bidi="ar"/>
              </w:rPr>
              <w:t>0%</w:t>
            </w:r>
          </w:p>
        </w:tc>
      </w:tr>
    </w:tbl>
    <w:p w14:paraId="6478647A">
      <w:pPr>
        <w:pStyle w:val="3"/>
        <w:widowControl/>
        <w:wordWrap w:val="0"/>
        <w:spacing w:before="156" w:beforeLines="50" w:beforeAutospacing="0" w:afterAutospacing="0" w:line="320" w:lineRule="exact"/>
        <w:rPr>
          <w:rFonts w:hint="eastAsia" w:ascii="仿宋_GB2312" w:hAnsi="仿宋_GB2312" w:eastAsia="仿宋_GB2312" w:cs="仿宋_GB2312"/>
          <w:b/>
          <w:bCs/>
          <w:sz w:val="28"/>
          <w:szCs w:val="28"/>
          <w:shd w:val="clear" w:color="auto" w:fill="FFFFFF"/>
        </w:rPr>
      </w:pPr>
    </w:p>
    <w:p w14:paraId="6BCEC887">
      <w:pPr>
        <w:pStyle w:val="3"/>
        <w:widowControl/>
        <w:wordWrap w:val="0"/>
        <w:spacing w:before="156" w:beforeLines="50" w:beforeAutospacing="0" w:afterAutospacing="0" w:line="320" w:lineRule="exact"/>
        <w:rPr>
          <w:rFonts w:hint="eastAsia" w:ascii="仿宋_GB2312" w:hAnsi="仿宋_GB2312" w:eastAsia="仿宋_GB2312" w:cs="仿宋_GB2312"/>
          <w:b/>
          <w:bCs/>
          <w:sz w:val="28"/>
          <w:szCs w:val="28"/>
          <w:shd w:val="clear" w:color="auto" w:fill="FFFFFF"/>
        </w:rPr>
      </w:pPr>
      <w:r>
        <w:rPr>
          <w:rFonts w:hint="eastAsia" w:ascii="仿宋_GB2312" w:hAnsi="仿宋_GB2312" w:eastAsia="仿宋_GB2312" w:cs="仿宋_GB2312"/>
          <w:b/>
          <w:bCs/>
          <w:sz w:val="28"/>
          <w:szCs w:val="28"/>
          <w:shd w:val="clear" w:color="auto" w:fill="FFFFFF"/>
        </w:rPr>
        <w:t>使用说明：</w:t>
      </w:r>
    </w:p>
    <w:p w14:paraId="412A2606">
      <w:pPr>
        <w:pStyle w:val="3"/>
        <w:keepNext w:val="0"/>
        <w:keepLines w:val="0"/>
        <w:pageBreakBefore w:val="0"/>
        <w:widowControl/>
        <w:kinsoku/>
        <w:wordWrap w:val="0"/>
        <w:overflowPunct/>
        <w:topLinePunct w:val="0"/>
        <w:autoSpaceDE/>
        <w:autoSpaceDN/>
        <w:bidi w:val="0"/>
        <w:adjustRightInd/>
        <w:snapToGrid/>
        <w:spacing w:before="0" w:beforeAutospacing="0" w:after="0" w:afterAutospacing="0" w:line="340" w:lineRule="exact"/>
        <w:ind w:firstLine="560" w:firstLineChars="200"/>
        <w:textAlignment w:val="auto"/>
        <w:rPr>
          <w:rFonts w:hint="eastAsia" w:ascii="仿宋_GB2312" w:hAnsi="仿宋_GB2312" w:eastAsia="仿宋_GB2312" w:cs="仿宋_GB2312"/>
          <w:b w:val="0"/>
          <w:bCs w:val="0"/>
          <w:sz w:val="28"/>
          <w:szCs w:val="28"/>
          <w:shd w:val="clear" w:color="auto" w:fill="FFFFFF"/>
        </w:rPr>
      </w:pPr>
      <w:r>
        <w:rPr>
          <w:rFonts w:hint="eastAsia" w:ascii="仿宋_GB2312" w:hAnsi="仿宋_GB2312" w:eastAsia="仿宋_GB2312" w:cs="仿宋_GB2312"/>
          <w:b w:val="0"/>
          <w:bCs w:val="0"/>
          <w:sz w:val="28"/>
          <w:szCs w:val="28"/>
          <w:shd w:val="clear" w:color="auto" w:fill="FFFFFF"/>
        </w:rPr>
        <w:t>1.本立项指南以药学类服务为重点，覆盖相关常用药学类服务价格项目。基于价格项目归类考虑，本立项指南优化调整了门诊诊查费（药学门诊）和住院诊查费（临床药学）的分类，此前发布的综合诊查类立项指南有关计价收费要求与本立项指南不一致的，以本立项指南为准。</w:t>
      </w:r>
    </w:p>
    <w:p w14:paraId="30779223">
      <w:pPr>
        <w:pStyle w:val="3"/>
        <w:keepNext w:val="0"/>
        <w:keepLines w:val="0"/>
        <w:pageBreakBefore w:val="0"/>
        <w:widowControl/>
        <w:kinsoku/>
        <w:wordWrap w:val="0"/>
        <w:overflowPunct/>
        <w:topLinePunct w:val="0"/>
        <w:autoSpaceDE/>
        <w:autoSpaceDN/>
        <w:bidi w:val="0"/>
        <w:adjustRightInd/>
        <w:snapToGrid/>
        <w:spacing w:before="0" w:beforeAutospacing="0" w:after="0" w:afterAutospacing="0" w:line="340" w:lineRule="exact"/>
        <w:ind w:firstLine="560" w:firstLineChars="200"/>
        <w:textAlignment w:val="auto"/>
        <w:rPr>
          <w:rFonts w:hint="eastAsia" w:ascii="仿宋_GB2312" w:hAnsi="仿宋_GB2312" w:eastAsia="仿宋_GB2312" w:cs="仿宋_GB2312"/>
          <w:b w:val="0"/>
          <w:bCs w:val="0"/>
          <w:sz w:val="28"/>
          <w:szCs w:val="28"/>
          <w:shd w:val="clear" w:color="auto" w:fill="FFFFFF"/>
        </w:rPr>
      </w:pPr>
      <w:r>
        <w:rPr>
          <w:rFonts w:hint="eastAsia" w:ascii="仿宋_GB2312" w:hAnsi="仿宋_GB2312" w:eastAsia="仿宋_GB2312" w:cs="仿宋_GB2312"/>
          <w:b w:val="0"/>
          <w:bCs w:val="0"/>
          <w:sz w:val="28"/>
          <w:szCs w:val="28"/>
          <w:shd w:val="clear" w:color="auto" w:fill="FFFFFF"/>
        </w:rPr>
        <w:t>2.根据《深化医疗服务价格改革试点方案》（医保发〔2021〕41号）关于“厘清价格项目与临床诊疗技术规范、医疗机构成本要素、不同应用场景和收费标准等的政策边界。分类整合现行价格项目，实现价格项目与操作步骤、诊疗部位等技术细节脱钩，增强现行价格项目对医疗技术和医疗活动改良创新的兼容性”的要求，服务产出相同的一类项目在操作层面存在差异，但在价格项目和定价水平层面具备合并同类项的条件，立项指南对此进行合并。各地医疗保障部门所定价格属于政府指导价为最高限价，下浮不限。医疗机构的医疗技术创新改良，申报新增医疗服务价格项目的，采取“现有项目兼容”的方式简化处理，按照对应的立项指南项目执行。</w:t>
      </w:r>
    </w:p>
    <w:p w14:paraId="06243381">
      <w:pPr>
        <w:pStyle w:val="3"/>
        <w:keepNext w:val="0"/>
        <w:keepLines w:val="0"/>
        <w:pageBreakBefore w:val="0"/>
        <w:widowControl/>
        <w:kinsoku/>
        <w:wordWrap w:val="0"/>
        <w:overflowPunct/>
        <w:topLinePunct w:val="0"/>
        <w:autoSpaceDE/>
        <w:autoSpaceDN/>
        <w:bidi w:val="0"/>
        <w:adjustRightInd/>
        <w:snapToGrid/>
        <w:spacing w:before="0" w:beforeAutospacing="0" w:after="0" w:afterAutospacing="0" w:line="340" w:lineRule="exact"/>
        <w:ind w:firstLine="560" w:firstLineChars="200"/>
        <w:textAlignment w:val="auto"/>
        <w:rPr>
          <w:rFonts w:hint="eastAsia" w:ascii="仿宋_GB2312" w:hAnsi="仿宋_GB2312" w:eastAsia="仿宋_GB2312" w:cs="仿宋_GB2312"/>
          <w:b w:val="0"/>
          <w:bCs w:val="0"/>
          <w:sz w:val="28"/>
          <w:szCs w:val="28"/>
          <w:shd w:val="clear" w:color="auto" w:fill="FFFFFF"/>
        </w:rPr>
      </w:pPr>
      <w:r>
        <w:rPr>
          <w:rFonts w:hint="eastAsia" w:ascii="仿宋_GB2312" w:hAnsi="仿宋_GB2312" w:eastAsia="仿宋_GB2312" w:cs="仿宋_GB2312"/>
          <w:b w:val="0"/>
          <w:bCs w:val="0"/>
          <w:sz w:val="28"/>
          <w:szCs w:val="28"/>
          <w:shd w:val="clear" w:color="auto" w:fill="FFFFFF"/>
        </w:rPr>
        <w:t>3.本立项指南所称“价格构成”，指项目价格应涵盖的各类资源消耗，用于确定计价单元的边界，是省市级医保部门制定调整项目价格的测算因子，不应作为临床技术标准理解，不是实际操作方式、路径、步骤、程序的强制性要求，价格构成中包含但临床实践中非必要、未发生的，无需强制要求公立医疗机构减计费用。所列“设备投入”包括但不限于操作设备、器具及固定资产投入。</w:t>
      </w:r>
    </w:p>
    <w:p w14:paraId="56F3AB18">
      <w:pPr>
        <w:pStyle w:val="3"/>
        <w:keepNext w:val="0"/>
        <w:keepLines w:val="0"/>
        <w:pageBreakBefore w:val="0"/>
        <w:widowControl/>
        <w:kinsoku/>
        <w:wordWrap w:val="0"/>
        <w:overflowPunct/>
        <w:topLinePunct w:val="0"/>
        <w:autoSpaceDE/>
        <w:autoSpaceDN/>
        <w:bidi w:val="0"/>
        <w:adjustRightInd/>
        <w:snapToGrid/>
        <w:spacing w:before="0" w:beforeAutospacing="0" w:after="0" w:afterAutospacing="0" w:line="340" w:lineRule="exact"/>
        <w:ind w:firstLine="560" w:firstLineChars="200"/>
        <w:textAlignment w:val="auto"/>
        <w:rPr>
          <w:rFonts w:hint="eastAsia" w:ascii="仿宋_GB2312" w:hAnsi="仿宋_GB2312" w:eastAsia="仿宋_GB2312" w:cs="仿宋_GB2312"/>
          <w:b w:val="0"/>
          <w:bCs w:val="0"/>
          <w:sz w:val="28"/>
          <w:szCs w:val="28"/>
          <w:shd w:val="clear" w:color="auto" w:fill="FFFFFF"/>
        </w:rPr>
      </w:pPr>
      <w:r>
        <w:rPr>
          <w:rFonts w:hint="eastAsia" w:ascii="仿宋_GB2312" w:hAnsi="仿宋_GB2312" w:eastAsia="仿宋_GB2312" w:cs="仿宋_GB2312"/>
          <w:b w:val="0"/>
          <w:bCs w:val="0"/>
          <w:sz w:val="28"/>
          <w:szCs w:val="28"/>
          <w:shd w:val="clear" w:color="auto" w:fill="FFFFFF"/>
        </w:rPr>
        <w:t>4.本立项指南所称“加收项”，指同一项目以不同方式提供或在不同场景应用时，确有必要制定差异化收费标准而细分的一类子项，包括在原项目价格基础上增加或减少收费的情况，具体的加/减收标准（加/减收率或加/减收金额）由省市级医疗保障部门依权限制定；实际应用中，同时涉及多个加收项的，以项目单价为基础计算相应的加/减收水平后，据实收费。</w:t>
      </w:r>
    </w:p>
    <w:p w14:paraId="133FAC07">
      <w:pPr>
        <w:pStyle w:val="3"/>
        <w:keepNext w:val="0"/>
        <w:keepLines w:val="0"/>
        <w:pageBreakBefore w:val="0"/>
        <w:widowControl/>
        <w:kinsoku/>
        <w:wordWrap w:val="0"/>
        <w:overflowPunct/>
        <w:topLinePunct w:val="0"/>
        <w:autoSpaceDE/>
        <w:autoSpaceDN/>
        <w:bidi w:val="0"/>
        <w:adjustRightInd/>
        <w:snapToGrid/>
        <w:spacing w:before="0" w:beforeAutospacing="0" w:after="0" w:afterAutospacing="0" w:line="340" w:lineRule="exact"/>
        <w:ind w:firstLine="560" w:firstLineChars="200"/>
        <w:textAlignment w:val="auto"/>
        <w:rPr>
          <w:rFonts w:hint="eastAsia" w:ascii="仿宋_GB2312" w:hAnsi="仿宋_GB2312" w:eastAsia="仿宋_GB2312" w:cs="仿宋_GB2312"/>
          <w:b w:val="0"/>
          <w:bCs w:val="0"/>
          <w:sz w:val="28"/>
          <w:szCs w:val="28"/>
          <w:shd w:val="clear" w:color="auto" w:fill="FFFFFF"/>
        </w:rPr>
      </w:pPr>
      <w:r>
        <w:rPr>
          <w:rFonts w:hint="eastAsia" w:ascii="仿宋_GB2312" w:hAnsi="仿宋_GB2312" w:eastAsia="仿宋_GB2312" w:cs="仿宋_GB2312"/>
          <w:b w:val="0"/>
          <w:bCs w:val="0"/>
          <w:sz w:val="28"/>
          <w:szCs w:val="28"/>
          <w:shd w:val="clear" w:color="auto" w:fill="FFFFFF"/>
        </w:rPr>
        <w:t>5.本立项指南所称“扩展项”，指同一项目下以不同方式提供或在不同场景应用时，只扩展价格项目适用范围、不额外加价的一类子项，子项的价格按主项目执行。</w:t>
      </w:r>
    </w:p>
    <w:p w14:paraId="6396864E">
      <w:pPr>
        <w:pStyle w:val="3"/>
        <w:keepNext w:val="0"/>
        <w:keepLines w:val="0"/>
        <w:pageBreakBefore w:val="0"/>
        <w:widowControl/>
        <w:kinsoku/>
        <w:wordWrap w:val="0"/>
        <w:overflowPunct/>
        <w:topLinePunct w:val="0"/>
        <w:autoSpaceDE/>
        <w:autoSpaceDN/>
        <w:bidi w:val="0"/>
        <w:adjustRightInd/>
        <w:snapToGrid/>
        <w:spacing w:before="0" w:beforeAutospacing="0" w:after="0" w:afterAutospacing="0" w:line="340" w:lineRule="exact"/>
        <w:ind w:firstLine="560" w:firstLineChars="200"/>
        <w:textAlignment w:val="auto"/>
        <w:rPr>
          <w:rFonts w:hint="eastAsia" w:ascii="仿宋_GB2312" w:hAnsi="仿宋_GB2312" w:eastAsia="仿宋_GB2312" w:cs="仿宋_GB2312"/>
          <w:b w:val="0"/>
          <w:bCs w:val="0"/>
          <w:sz w:val="28"/>
          <w:szCs w:val="28"/>
          <w:shd w:val="clear" w:color="auto" w:fill="FFFFFF"/>
        </w:rPr>
      </w:pPr>
      <w:r>
        <w:rPr>
          <w:rFonts w:hint="eastAsia" w:ascii="仿宋_GB2312" w:hAnsi="仿宋_GB2312" w:eastAsia="仿宋_GB2312" w:cs="仿宋_GB2312"/>
          <w:b w:val="0"/>
          <w:bCs w:val="0"/>
          <w:sz w:val="28"/>
          <w:szCs w:val="28"/>
          <w:shd w:val="clear" w:color="auto" w:fill="FFFFFF"/>
        </w:rPr>
        <w:t>6. 本立项指南中所称“基本物质资源消耗”，指原则上限于不应或不必要与医疗服务项目分割的易耗品，包括但不限于各类消杀灭菌用品、储存用品、清洁用品、个人防护用品、垃圾处理用品、滑石粉、标签、中单、护（尿）垫、棉球、棉签、纱布（垫）、治疗护理盘（包）、治疗巾（单）、手术巾（单）、手术包、注射器、试剂（含固定液等辅助试剂）、可复用的操作器具等。基本物质资源消耗成本计入项目价格，不另行收费。除基本物质资源消耗以外的其他耗材，立项指南落地前价格项目除外内容的可收费医用耗材，按照实际采购价格零差率销售另行收费。</w:t>
      </w:r>
    </w:p>
    <w:p w14:paraId="17229C0F">
      <w:pPr>
        <w:pStyle w:val="3"/>
        <w:keepNext w:val="0"/>
        <w:keepLines w:val="0"/>
        <w:pageBreakBefore w:val="0"/>
        <w:widowControl/>
        <w:kinsoku/>
        <w:wordWrap w:val="0"/>
        <w:overflowPunct/>
        <w:topLinePunct w:val="0"/>
        <w:autoSpaceDE/>
        <w:autoSpaceDN/>
        <w:bidi w:val="0"/>
        <w:adjustRightInd/>
        <w:snapToGrid/>
        <w:spacing w:before="0" w:beforeAutospacing="0" w:after="0" w:afterAutospacing="0" w:line="340" w:lineRule="exact"/>
        <w:ind w:firstLine="560" w:firstLineChars="200"/>
        <w:textAlignment w:val="auto"/>
        <w:rPr>
          <w:rFonts w:hint="eastAsia" w:ascii="仿宋_GB2312" w:hAnsi="仿宋_GB2312" w:eastAsia="仿宋_GB2312" w:cs="仿宋_GB2312"/>
          <w:b w:val="0"/>
          <w:bCs w:val="0"/>
          <w:sz w:val="28"/>
          <w:szCs w:val="28"/>
          <w:shd w:val="clear" w:color="auto" w:fill="FFFFFF"/>
        </w:rPr>
      </w:pPr>
      <w:r>
        <w:rPr>
          <w:rFonts w:hint="eastAsia" w:ascii="仿宋_GB2312" w:hAnsi="仿宋_GB2312" w:eastAsia="仿宋_GB2312" w:cs="仿宋_GB2312"/>
          <w:b w:val="0"/>
          <w:bCs w:val="0"/>
          <w:sz w:val="28"/>
          <w:szCs w:val="28"/>
          <w:shd w:val="clear" w:color="auto" w:fill="FFFFFF"/>
        </w:rPr>
        <w:t>7.药敏检验、基因检测等与用药指导相关的医疗服务价格项目在病理类和检验类立项指南中另行规定。</w:t>
      </w:r>
    </w:p>
    <w:p w14:paraId="7AB73F1A">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642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6">
    <w:name w:val="font71"/>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2026-09-07T09:47:01Z</dcterms:created>
  <dc:creator>Administrator</dc:creator>
  <cp:lastModifiedBy>旋子！</cp:lastModifiedBy>
  <dcterms:modified xsi:type="dcterms:W3CDTF">2026-09-07T09:47:16Z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5E9E5AC9B6B4433683F6E3892B07E7BE_12</vt:lpwstr>
  </property>
</Properties>
</file>