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E550D">
      <w:pPr>
        <w:spacing w:line="360" w:lineRule="exact"/>
        <w:rPr>
          <w:rFonts w:ascii="方正小标宋简体" w:hAnsi="方正小标宋简体" w:eastAsia="黑体" w:cs="方正小标宋简体"/>
          <w:kern w:val="0"/>
          <w:sz w:val="32"/>
          <w:szCs w:val="32"/>
          <w:lang w:bidi="ar"/>
        </w:rPr>
      </w:pPr>
      <w:r>
        <w:rPr>
          <w:rFonts w:hint="eastAsia" w:ascii="黑体" w:hAnsi="宋体" w:eastAsia="黑体" w:cs="黑体"/>
          <w:kern w:val="0"/>
          <w:sz w:val="32"/>
          <w:szCs w:val="32"/>
          <w:lang w:bidi="ar"/>
        </w:rPr>
        <w:t>附件1-1</w:t>
      </w:r>
    </w:p>
    <w:p w14:paraId="2FFE09A3">
      <w:pPr>
        <w:spacing w:after="156" w:afterLines="50" w:line="600" w:lineRule="exact"/>
        <w:jc w:val="center"/>
        <w:rPr>
          <w:rFonts w:ascii="仿宋_GB2312" w:hAnsi="仿宋_GB2312" w:eastAsia="仿宋_GB2312" w:cs="仿宋_GB2312"/>
          <w:sz w:val="28"/>
          <w:szCs w:val="28"/>
        </w:rPr>
      </w:pPr>
      <w:r>
        <w:rPr>
          <w:rFonts w:hint="eastAsia" w:ascii="方正小标宋简体" w:hAnsi="方正小标宋简体" w:eastAsia="方正小标宋简体" w:cs="方正小标宋简体"/>
          <w:kern w:val="0"/>
          <w:sz w:val="44"/>
          <w:szCs w:val="44"/>
          <w:lang w:bidi="ar"/>
        </w:rPr>
        <w:t>常德市</w:t>
      </w:r>
      <w:r>
        <w:rPr>
          <w:rFonts w:hint="eastAsia" w:ascii="方正小标宋简体" w:hAnsi="方正小标宋简体" w:eastAsia="方正小标宋简体" w:cs="方正小标宋简体"/>
          <w:kern w:val="0"/>
          <w:sz w:val="44"/>
          <w:szCs w:val="44"/>
          <w:lang w:val="en-US" w:eastAsia="zh-CN" w:bidi="ar"/>
        </w:rPr>
        <w:t>药学</w:t>
      </w:r>
      <w:r>
        <w:rPr>
          <w:rFonts w:hint="eastAsia" w:ascii="方正小标宋简体" w:hAnsi="方正小标宋简体" w:eastAsia="方正小标宋简体" w:cs="方正小标宋简体"/>
          <w:kern w:val="0"/>
          <w:sz w:val="44"/>
          <w:szCs w:val="44"/>
          <w:lang w:bidi="ar"/>
        </w:rPr>
        <w:t>类</w:t>
      </w:r>
      <w:r>
        <w:rPr>
          <w:rFonts w:hint="eastAsia" w:ascii="方正小标宋简体" w:hAnsi="方正小标宋简体" w:eastAsia="方正小标宋简体" w:cs="方正小标宋简体"/>
          <w:kern w:val="0"/>
          <w:sz w:val="44"/>
          <w:szCs w:val="44"/>
          <w:lang w:val="en-US" w:eastAsia="zh-CN" w:bidi="ar"/>
        </w:rPr>
        <w:t>通用型</w:t>
      </w:r>
      <w:r>
        <w:rPr>
          <w:rFonts w:hint="eastAsia" w:ascii="方正小标宋简体" w:hAnsi="方正小标宋简体" w:eastAsia="方正小标宋简体" w:cs="方正小标宋简体"/>
          <w:kern w:val="0"/>
          <w:sz w:val="44"/>
          <w:szCs w:val="44"/>
          <w:lang w:bidi="ar"/>
        </w:rPr>
        <w:t>医疗服务项目价格表</w:t>
      </w:r>
    </w:p>
    <w:tbl>
      <w:tblPr>
        <w:tblStyle w:val="4"/>
        <w:tblW w:w="15398"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438"/>
        <w:gridCol w:w="1631"/>
        <w:gridCol w:w="1455"/>
        <w:gridCol w:w="2098"/>
        <w:gridCol w:w="1980"/>
        <w:gridCol w:w="735"/>
        <w:gridCol w:w="420"/>
        <w:gridCol w:w="555"/>
        <w:gridCol w:w="1875"/>
        <w:gridCol w:w="720"/>
        <w:gridCol w:w="765"/>
        <w:gridCol w:w="765"/>
        <w:gridCol w:w="720"/>
        <w:gridCol w:w="615"/>
        <w:gridCol w:w="626"/>
      </w:tblGrid>
      <w:tr w14:paraId="62D168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8D225F">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F8C8D1">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项目编码</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0CC7B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项目名称</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6EBE04">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服务产出</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020114">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价格构成</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89F996">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加收项</w:t>
            </w: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36B5B5">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扩展项</w:t>
            </w: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9391CA">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计价单位</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CE9BA2">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7ACFB49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F266B9">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CC48DA">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市二类价格（元）</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A6490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市三类价格（元）</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A390A8">
            <w:pPr>
              <w:widowControl/>
              <w:spacing w:line="240" w:lineRule="exact"/>
              <w:jc w:val="center"/>
              <w:textAlignment w:val="center"/>
              <w:rPr>
                <w:rStyle w:val="6"/>
                <w:rFonts w:ascii="宋体" w:hAnsi="宋体"/>
                <w:color w:val="auto"/>
                <w:sz w:val="20"/>
                <w:szCs w:val="20"/>
              </w:rPr>
            </w:pPr>
            <w:r>
              <w:rPr>
                <w:rFonts w:hint="eastAsia" w:ascii="宋体" w:hAnsi="宋体" w:cs="宋体"/>
                <w:b/>
                <w:bCs/>
                <w:kern w:val="0"/>
                <w:sz w:val="20"/>
                <w:szCs w:val="20"/>
              </w:rPr>
              <w:t>市基层价格（元）</w:t>
            </w:r>
          </w:p>
        </w:tc>
        <w:tc>
          <w:tcPr>
            <w:tcW w:w="61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602FEE">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支付分类</w:t>
            </w:r>
          </w:p>
        </w:tc>
        <w:tc>
          <w:tcPr>
            <w:tcW w:w="626"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4C4C26">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自付比例</w:t>
            </w:r>
          </w:p>
        </w:tc>
      </w:tr>
      <w:tr w14:paraId="2F07FE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1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9269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B19D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011102020030000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AD68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门诊诊查费（药学门诊）</w:t>
            </w:r>
          </w:p>
        </w:tc>
        <w:tc>
          <w:tcPr>
            <w:tcW w:w="2098"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8A9C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指卫生主管部门认定具有药学门诊资质的临床药师，提供技术劳务的门诊药学/中药学服务，包含为患者提供从药学/中药学咨询到用药指导，制定用药方案的药学服务。</w:t>
            </w:r>
          </w:p>
        </w:tc>
        <w:tc>
          <w:tcPr>
            <w:tcW w:w="198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B8D0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所定价格涵盖核实信息、药学咨询、评估用药情况、开展药学指导、制定用药方案、干预或提出药物重整建议、建立药历等所需的人力资源和基本物质资源消耗。</w:t>
            </w:r>
          </w:p>
        </w:tc>
        <w:tc>
          <w:tcPr>
            <w:tcW w:w="73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826F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01副主任（中）药师加收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02主任（中）药师加收</w:t>
            </w:r>
          </w:p>
        </w:tc>
        <w:tc>
          <w:tcPr>
            <w:tcW w:w="4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2657B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08C4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次</w:t>
            </w:r>
          </w:p>
        </w:tc>
        <w:tc>
          <w:tcPr>
            <w:tcW w:w="18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495F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1.本项目的药学服务涵盖西药、中药及民族药。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2.一般诊疗费已包含药事服务成本，基层医疗机构收取一般诊疗费时，不得同时收取“门诊诊查费（药学门诊）”。</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F449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lang w:val="en-US" w:eastAsia="zh-CN" w:bidi="ar"/>
              </w:rPr>
            </w:pPr>
            <w:r>
              <w:rPr>
                <w:rFonts w:hint="eastAsia" w:ascii="宋体" w:hAnsi="宋体" w:eastAsia="宋体" w:cs="宋体"/>
                <w:kern w:val="0"/>
                <w:sz w:val="20"/>
                <w:szCs w:val="20"/>
                <w:lang w:val="en-US" w:eastAsia="zh-CN" w:bidi="ar"/>
              </w:rPr>
              <w:t>9</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3D61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9</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AB97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9</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A5FA2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7.2</w:t>
            </w:r>
          </w:p>
        </w:tc>
        <w:tc>
          <w:tcPr>
            <w:tcW w:w="615" w:type="dxa"/>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37C181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2FC580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100%</w:t>
            </w:r>
          </w:p>
        </w:tc>
      </w:tr>
      <w:tr w14:paraId="0B1ED35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31"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B3A1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F230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011102020030001</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1D42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门诊诊查费（药学门诊）-副主任（中）药师（加收）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11A2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7DD3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C08F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F2CA2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6644D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77C73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03F6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kern w:val="0"/>
                <w:sz w:val="20"/>
                <w:szCs w:val="20"/>
                <w:lang w:val="en-US"/>
              </w:rPr>
            </w:pPr>
            <w:r>
              <w:rPr>
                <w:rFonts w:hint="eastAsia" w:ascii="宋体" w:hAnsi="宋体" w:eastAsia="宋体" w:cs="宋体"/>
                <w:i w:val="0"/>
                <w:iCs w:val="0"/>
                <w:color w:val="000000"/>
                <w:kern w:val="0"/>
                <w:sz w:val="20"/>
                <w:szCs w:val="20"/>
                <w:u w:val="none"/>
                <w:lang w:val="en-US" w:eastAsia="zh-CN" w:bidi="ar"/>
              </w:rPr>
              <w:t>14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3147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A733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C816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kern w:val="0"/>
                <w:sz w:val="20"/>
                <w:szCs w:val="20"/>
                <w:lang w:val="en-US"/>
              </w:rPr>
            </w:pPr>
            <w:r>
              <w:rPr>
                <w:rFonts w:hint="eastAsia" w:ascii="宋体" w:hAnsi="宋体" w:eastAsia="宋体" w:cs="宋体"/>
                <w:i w:val="0"/>
                <w:iCs w:val="0"/>
                <w:color w:val="000000"/>
                <w:kern w:val="0"/>
                <w:sz w:val="20"/>
                <w:szCs w:val="20"/>
                <w:u w:val="none"/>
                <w:lang w:val="en-US" w:eastAsia="zh-CN" w:bidi="ar"/>
              </w:rPr>
              <w:t>11</w:t>
            </w:r>
          </w:p>
        </w:tc>
        <w:tc>
          <w:tcPr>
            <w:tcW w:w="615" w:type="dxa"/>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0B9F89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1C02E0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100%</w:t>
            </w:r>
          </w:p>
        </w:tc>
      </w:tr>
      <w:tr w14:paraId="45CEA7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5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BEC7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DE6E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011102020030002</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65D5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门诊诊查费（药学门诊）-主任（中）药师（加收）</w:t>
            </w:r>
          </w:p>
        </w:tc>
        <w:tc>
          <w:tcPr>
            <w:tcW w:w="2098"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14E2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198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FA11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73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E97B9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4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6B1B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145A3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18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9489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B817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kern w:val="0"/>
                <w:sz w:val="20"/>
                <w:szCs w:val="20"/>
                <w:lang w:val="en-US"/>
              </w:rPr>
            </w:pPr>
            <w:r>
              <w:rPr>
                <w:rFonts w:hint="eastAsia" w:ascii="宋体" w:hAnsi="宋体" w:eastAsia="宋体" w:cs="宋体"/>
                <w:i w:val="0"/>
                <w:iCs w:val="0"/>
                <w:color w:val="000000"/>
                <w:kern w:val="0"/>
                <w:sz w:val="20"/>
                <w:szCs w:val="20"/>
                <w:u w:val="none"/>
                <w:lang w:val="en-US" w:eastAsia="zh-CN" w:bidi="ar"/>
              </w:rPr>
              <w:t>24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581E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A8FF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C9BE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61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815C0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E2A4A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100%</w:t>
            </w:r>
          </w:p>
        </w:tc>
      </w:tr>
      <w:tr w14:paraId="2DAEBE0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50"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4B93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9169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011102030020000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374F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住院诊查费（临床药学）</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D0F5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指医疗机构在患者住院期间提供药学综合服务，并由临床药师结合患者病情和用药情况，参与临床医师住院巡诊，协同制定个体化药物治疗方案，并进行用药监护和用药安全指导的药学服务。</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A50A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所定价格涵盖参与住院巡诊、协同制定个体化药物治疗方案、疗效观察、药物不良反应监测、安全用药指导、干预或提出药物重整等建议、建立药历等所需的人力资源和基本物质资源消耗。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48B7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30146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ACB8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日</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CCCC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0"/>
                <w:szCs w:val="20"/>
                <w:u w:val="none"/>
                <w:lang w:val="en-US" w:eastAsia="zh-CN" w:bidi="ar"/>
              </w:rPr>
              <w:t>1.符合规定资质的临床药师参与临床医师住院巡诊，按照每日12元收取；住院天数≤30天的，收取费用不高于60元；住院天数＞30 天的，每30天（含）收费不超过60元，总收费最高不超过150元。2.重症监护室患者，按实际服务天数计收。3.家庭病床暂不执行加收政策。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24A1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45C5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053C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3D7D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8.8</w:t>
            </w:r>
          </w:p>
        </w:tc>
        <w:tc>
          <w:tcPr>
            <w:tcW w:w="61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9D080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甲类</w:t>
            </w:r>
          </w:p>
        </w:tc>
        <w:tc>
          <w:tcPr>
            <w:tcW w:w="62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43F3B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w:t>
            </w:r>
          </w:p>
        </w:tc>
      </w:tr>
      <w:tr w14:paraId="4C5BCAA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5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DCA0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746F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011400000010000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7D52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居家药学服务费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2AC7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指医疗机构派出药师为居家药物治疗的患者提供用药评估指导、家庭药箱管理等药学服务。</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FAA7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所定价格涵盖上门提供药学咨询、评估用药情况、开展药学指导、制定用药方案、干预或提出药物重整建议、药箱整理等步骤所需的人力资源和基本物质资源消耗。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F40B0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DD97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C394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A2B4F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1.医疗机构上门提供居家药学服务的，按照上门提供医疗服务的收费政策，同样采取“居家药学服务费+上门服务费”的方式收费。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2.居家药学服务已合并计入家庭医生签约服务的，不得重复收取费用。</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3991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3D6E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6DB9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FA5C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w:t>
            </w:r>
          </w:p>
        </w:tc>
        <w:tc>
          <w:tcPr>
            <w:tcW w:w="61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BCAA8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7B261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100%</w:t>
            </w:r>
          </w:p>
        </w:tc>
      </w:tr>
      <w:tr w14:paraId="0084F45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97"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CB5D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BD9F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011400000050000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2BAB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中药临方加工费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A5AE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根据处方要求，将中药饮片制备成符合临床要求、便于服用的特定剂型。</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A6EA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所定价格涵盖信息核对、处方审核、中药制备、剂量分装、粘贴标签、清点核对等步骤所需的人力资源和基本物质资源消耗。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84575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AB0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FE0F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每百克</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DA1F8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1.本项目所称的“特定剂型”包括但不限于膏剂、合剂、胶囊剂、片剂、丸剂、酒剂、散剂、颗粒剂等行业主管部门准许医疗机构自行制备的中药剂型。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2.计价单位“每百克”以处方的中药饮片重量计，不含赋形剂重量。不足百克按百克计算。3.合剂与散剂按50%计价。</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385C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D3E7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2F51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20</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8409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w:t>
            </w:r>
          </w:p>
        </w:tc>
        <w:tc>
          <w:tcPr>
            <w:tcW w:w="61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7A6C0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F0768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100%</w:t>
            </w:r>
          </w:p>
        </w:tc>
      </w:tr>
      <w:tr w14:paraId="0232C3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9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8476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kern w:val="0"/>
                <w:sz w:val="20"/>
                <w:szCs w:val="20"/>
                <w:lang w:val="en-US"/>
              </w:rPr>
            </w:pPr>
            <w:r>
              <w:rPr>
                <w:rFonts w:hint="eastAsia" w:ascii="宋体" w:hAnsi="宋体" w:eastAsia="宋体" w:cs="宋体"/>
                <w:i w:val="0"/>
                <w:iCs w:val="0"/>
                <w:color w:val="000000"/>
                <w:kern w:val="0"/>
                <w:sz w:val="20"/>
                <w:szCs w:val="20"/>
                <w:u w:val="none"/>
                <w:lang w:val="en-US" w:eastAsia="zh-CN" w:bidi="ar"/>
              </w:rPr>
              <w:t>10</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8548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011400000060000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A583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中药代煎服务费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D885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通过浸泡、煎煮等各种方式，将中药饮片加工成可直接服用的药液独立包装。</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C4E57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所定价格涵盖信息核对、处方审核、煎煮、合并、分装、粘贴标签、清点核对等步骤所需的人力资源和基本物质资源消耗。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261C5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3B81E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B62F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付</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1AAA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每付包含2袋。</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50EE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588E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F916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6D1D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3.6</w:t>
            </w:r>
          </w:p>
        </w:tc>
        <w:tc>
          <w:tcPr>
            <w:tcW w:w="61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64A18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1B4C1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100%</w:t>
            </w:r>
          </w:p>
        </w:tc>
      </w:tr>
      <w:tr w14:paraId="18BA28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85" w:hRule="atLeast"/>
          <w:jc w:val="center"/>
        </w:trPr>
        <w:tc>
          <w:tcPr>
            <w:tcW w:w="43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0F9A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kern w:val="0"/>
                <w:sz w:val="20"/>
                <w:szCs w:val="20"/>
                <w:lang w:val="en-US"/>
              </w:rPr>
            </w:pPr>
            <w:r>
              <w:rPr>
                <w:rFonts w:hint="eastAsia" w:ascii="宋体" w:hAnsi="宋体" w:eastAsia="宋体" w:cs="宋体"/>
                <w:i w:val="0"/>
                <w:iCs w:val="0"/>
                <w:color w:val="000000"/>
                <w:kern w:val="0"/>
                <w:sz w:val="20"/>
                <w:szCs w:val="20"/>
                <w:u w:val="none"/>
                <w:lang w:val="en-US" w:eastAsia="zh-CN" w:bidi="ar"/>
              </w:rPr>
              <w:t>11</w:t>
            </w:r>
          </w:p>
        </w:tc>
        <w:tc>
          <w:tcPr>
            <w:tcW w:w="163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5B2D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011400000070000</w:t>
            </w:r>
          </w:p>
        </w:tc>
        <w:tc>
          <w:tcPr>
            <w:tcW w:w="14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B2B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中药配方颗粒调剂费</w:t>
            </w:r>
          </w:p>
        </w:tc>
        <w:tc>
          <w:tcPr>
            <w:tcW w:w="2098"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A0B2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根据处方要求，将多味中药配方颗粒进行调剂，制成供直接冲泡服用的包装。</w:t>
            </w:r>
          </w:p>
        </w:tc>
        <w:tc>
          <w:tcPr>
            <w:tcW w:w="198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99859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所定价格涵盖信息核对、处方审核、逐味调剂、包装、粘贴标签、清点核对等步骤所需的人力资源和基本物质资源消耗。</w:t>
            </w:r>
          </w:p>
        </w:tc>
        <w:tc>
          <w:tcPr>
            <w:tcW w:w="73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D037A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4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222E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55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0C1B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付</w:t>
            </w:r>
          </w:p>
        </w:tc>
        <w:tc>
          <w:tcPr>
            <w:tcW w:w="18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2FB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中药配方颗粒实行零加成政策后，可收取此项费用。</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D01B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
                <w:bCs/>
                <w:kern w:val="0"/>
                <w:sz w:val="20"/>
                <w:szCs w:val="20"/>
                <w:lang w:val="en-US"/>
              </w:rPr>
            </w:pPr>
            <w:r>
              <w:rPr>
                <w:rFonts w:hint="eastAsia" w:ascii="宋体" w:hAnsi="宋体" w:eastAsia="宋体" w:cs="宋体"/>
                <w:i w:val="0"/>
                <w:iCs w:val="0"/>
                <w:color w:val="000000"/>
                <w:kern w:val="0"/>
                <w:sz w:val="20"/>
                <w:szCs w:val="20"/>
                <w:u w:val="none"/>
                <w:lang w:val="en-US" w:eastAsia="zh-CN" w:bidi="ar"/>
              </w:rPr>
              <w:t>3.5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BD95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3.5</w:t>
            </w:r>
          </w:p>
        </w:tc>
        <w:tc>
          <w:tcPr>
            <w:tcW w:w="765"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807A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3.5</w:t>
            </w:r>
          </w:p>
        </w:tc>
        <w:tc>
          <w:tcPr>
            <w:tcW w:w="720"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47DF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2.8</w:t>
            </w:r>
          </w:p>
        </w:tc>
        <w:tc>
          <w:tcPr>
            <w:tcW w:w="615" w:type="dxa"/>
            <w:tcBorders>
              <w:top w:val="single" w:color="auto" w:sz="4" w:space="0"/>
              <w:left w:val="single" w:color="auto" w:sz="4" w:space="0"/>
              <w:bottom w:val="single" w:color="000000" w:sz="4" w:space="0"/>
              <w:right w:val="single" w:color="000000" w:sz="4" w:space="0"/>
            </w:tcBorders>
            <w:noWrap w:val="0"/>
            <w:tcMar>
              <w:left w:w="57" w:type="dxa"/>
              <w:right w:w="57" w:type="dxa"/>
            </w:tcMar>
            <w:vAlign w:val="center"/>
          </w:tcPr>
          <w:p w14:paraId="1BC282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丙类</w:t>
            </w:r>
          </w:p>
        </w:tc>
        <w:tc>
          <w:tcPr>
            <w:tcW w:w="626" w:type="dxa"/>
            <w:tcBorders>
              <w:top w:val="single" w:color="auto" w:sz="4" w:space="0"/>
              <w:left w:val="single" w:color="auto" w:sz="4" w:space="0"/>
              <w:bottom w:val="single" w:color="000000" w:sz="4" w:space="0"/>
              <w:right w:val="single" w:color="000000" w:sz="4" w:space="0"/>
            </w:tcBorders>
            <w:noWrap w:val="0"/>
            <w:tcMar>
              <w:left w:w="57" w:type="dxa"/>
              <w:right w:w="57" w:type="dxa"/>
            </w:tcMar>
            <w:vAlign w:val="center"/>
          </w:tcPr>
          <w:p w14:paraId="1A1E0E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100%</w:t>
            </w:r>
          </w:p>
        </w:tc>
      </w:tr>
    </w:tbl>
    <w:p w14:paraId="5D544C4F">
      <w:pPr>
        <w:pStyle w:val="3"/>
        <w:widowControl/>
        <w:wordWrap w:val="0"/>
        <w:spacing w:before="156" w:beforeLines="50" w:beforeAutospacing="0" w:afterAutospacing="0" w:line="320" w:lineRule="exact"/>
        <w:rPr>
          <w:rFonts w:ascii="仿宋_GB2312" w:hAnsi="仿宋_GB2312" w:eastAsia="仿宋_GB2312" w:cs="仿宋_GB2312"/>
          <w:b/>
          <w:bCs/>
          <w:sz w:val="28"/>
          <w:szCs w:val="28"/>
          <w:shd w:val="clear" w:color="auto" w:fill="FFFFFF"/>
        </w:rPr>
      </w:pPr>
      <w:r>
        <w:rPr>
          <w:rFonts w:hint="eastAsia" w:ascii="仿宋_GB2312" w:hAnsi="仿宋_GB2312" w:eastAsia="仿宋_GB2312" w:cs="仿宋_GB2312"/>
          <w:b/>
          <w:bCs/>
          <w:sz w:val="28"/>
          <w:szCs w:val="28"/>
          <w:shd w:val="clear" w:color="auto" w:fill="FFFFFF"/>
        </w:rPr>
        <w:t>使用说明：</w:t>
      </w:r>
    </w:p>
    <w:p w14:paraId="09E3F51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1.本立项指南以药学类服务为重点，覆盖相关常用药学类服务价格项目。基于价格项目归类考虑，本立项指南优化调整了门诊诊查费（药学门诊）和住院诊查费（临床药学）的分类，此前发布的综合诊查类立项指南有关计价收费要求与本立项指南不一致的，以本立项指南为准。</w:t>
      </w:r>
    </w:p>
    <w:p w14:paraId="6F3BDA81">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2.根据《深化医疗服务价格改革试点方案》（医保发〔2021〕41号）关于“厘清价格项目与临床诊疗技术规范、医疗机构成本要素、不同应用场景和收费标准等的政策边界。分类整合现行价格项目，实现价格项目与操作步骤、诊疗部位等技术细节脱钩，增强现行价格项目对医疗技术和医疗活动改良创新的兼容性”的要求，服务产出相同的一类项目在操作层面存在差异，但在价格项目和定价水平层面具备合并同类项的条件，立项指南对此进行合并。各地医疗保障部门所定价格属于政府指导价为最高限价，下浮不限。医疗机构的医疗技术创新改良，申报新增医疗服务价格项目的，采取“现有项目兼容”的方式简化处理，按照对应的立项指南项目执行。</w:t>
      </w:r>
    </w:p>
    <w:p w14:paraId="00E58F97">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3.本立项指南所称“价格构成”，指项目价格应涵盖的各类资源消耗，用于确定计价单元的边界，是省市级医保部门制定调整项目价格的测算因子，不应作为临床技术标准理解，不是实际操作方式、路径、步骤、程序的强制性要求，价格构成中包含但临床实践中非必要、未发生的，无需强制要求公立医疗机构减计费用。所列“设备投入”包括但不限于操作设备、器具及固定资产投入。</w:t>
      </w:r>
    </w:p>
    <w:p w14:paraId="1368431E">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4.本立项指南所称“加收项”，指同一项目以不同方式提供或在不同场景应用时，确有必要制定差异化收费标准而细分的一类子项，包括在原项目价格基础上增加或减少收费的情况，具体的加/减收标准（加/减收率或加/减收金额）由省市级医疗保障部门依权限制定；实际应用中，同时涉及多个加收项的，以项目单价为基础计算相应的加/减收水平后，据实收费。</w:t>
      </w:r>
    </w:p>
    <w:p w14:paraId="2DCC7FA9">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5.本立项指南所称“扩展项”，指同一项目下以不同方式提供或在不同场景应用时，只扩展价格项目适用范围、不额外加价的一类子项，子项的价格按主项目执行。</w:t>
      </w:r>
    </w:p>
    <w:p w14:paraId="6FBF9E65">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6. 本立项指南中所称“基本物质资源消耗”，指原则上限于不应或不必要与医疗服务项目分割的易耗品，包括但不限于各类消杀灭菌用品、储存用品、清洁用品、个人防护用品、垃圾处理用品、滑石粉、标签、中单、护（尿）垫、棉球、棉签、纱布（垫）、治疗护理盘（包）、治疗巾（单）、手术巾（单）、手术包、注射器、试剂（含固定液等辅助试剂）、可复用的操作器具等。基本物质资源消耗成本计入项目价格，不另行收费。除基本物质资源消耗以外的其他耗材，立项指南落地前价格项目除外内容的可收费医用耗材，按照实际采购价格零差率销售另行收费。</w:t>
      </w:r>
    </w:p>
    <w:p w14:paraId="2D8D6B3C">
      <w:pPr>
        <w:rPr>
          <w:rFonts w:hint="eastAsia" w:eastAsia="仿宋_GB2312"/>
          <w:lang w:val="en-US" w:eastAsia="zh-CN"/>
        </w:rPr>
      </w:pPr>
      <w:r>
        <w:rPr>
          <w:rFonts w:hint="eastAsia" w:ascii="仿宋_GB2312" w:hAnsi="仿宋_GB2312" w:eastAsia="仿宋_GB2312" w:cs="仿宋_GB2312"/>
          <w:sz w:val="28"/>
          <w:szCs w:val="28"/>
          <w:shd w:val="clear" w:color="auto" w:fill="FFFFFF"/>
        </w:rPr>
        <w:t>7.药敏检验、基因检测等与用药指导相关的医疗服务价格项目在病理类和检验类立项指南中另行</w:t>
      </w:r>
      <w:r>
        <w:rPr>
          <w:rFonts w:hint="eastAsia" w:ascii="仿宋_GB2312" w:hAnsi="仿宋_GB2312" w:eastAsia="仿宋_GB2312" w:cs="仿宋_GB2312"/>
          <w:sz w:val="28"/>
          <w:szCs w:val="28"/>
          <w:shd w:val="clear" w:color="auto" w:fill="FFFFFF"/>
          <w:lang w:val="en-US" w:eastAsia="zh-CN"/>
        </w:rPr>
        <w:t>规定。</w:t>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4C3A50"/>
    <w:rsid w:val="585209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6">
    <w:name w:val="font71"/>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2517</Words>
  <Characters>2721</Characters>
  <Lines>0</Lines>
  <Paragraphs>0</Paragraphs>
  <TotalTime>0</TotalTime>
  <ScaleCrop>false</ScaleCrop>
  <LinksUpToDate>false</LinksUpToDate>
  <CharactersWithSpaces>2723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2026-09-07T09:45:00Z</dcterms:created>
  <dc:creator>Administrator</dc:creator>
  <cp:lastModifiedBy>旋子！</cp:lastModifiedBy>
  <dcterms:modified xsi:type="dcterms:W3CDTF">2026-09-07T09:46:35Z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95EED8B18F784F8A9CF53FAA74B69D61_12</vt:lpwstr>
  </property>
</Properties>
</file>