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jc w:val="both"/>
        <w:rPr>
          <w:rFonts w:hint="eastAsia" w:ascii="仿宋_GB2312" w:hAnsi="仿宋" w:eastAsia="仿宋_GB2312" w:cs="仿宋"/>
          <w:color w:val="auto"/>
          <w:spacing w:val="-17"/>
          <w:sz w:val="32"/>
          <w:szCs w:val="32"/>
        </w:rPr>
      </w:pPr>
      <w:r>
        <w:rPr>
          <w:rFonts w:hint="eastAsia" w:ascii="仿宋_GB2312" w:hAnsi="仿宋" w:eastAsia="仿宋_GB2312" w:cs="仿宋"/>
          <w:color w:val="auto"/>
          <w:spacing w:val="-17"/>
          <w:sz w:val="32"/>
          <w:szCs w:val="32"/>
        </w:rPr>
        <w:t>附件 4：</w:t>
      </w:r>
    </w:p>
    <w:p>
      <w:pPr>
        <w:pStyle w:val="2"/>
        <w:jc w:val="center"/>
        <w:rPr>
          <w:color w:val="auto"/>
        </w:rPr>
      </w:pPr>
      <w:r>
        <w:rPr>
          <w:rFonts w:ascii="方正公文小标宋" w:hAnsi="方正公文小标宋" w:eastAsia="方正公文小标宋" w:cs="方正公文小标宋"/>
          <w:color w:val="auto"/>
          <w:sz w:val="40"/>
          <w:szCs w:val="40"/>
          <w:lang w:bidi="ar"/>
        </w:rPr>
        <w:t>医保</w:t>
      </w:r>
      <w:r>
        <w:rPr>
          <w:rFonts w:hint="eastAsia" w:ascii="方正公文小标宋" w:hAnsi="方正公文小标宋" w:eastAsia="方正公文小标宋" w:cs="方正公文小标宋"/>
          <w:color w:val="auto"/>
          <w:sz w:val="40"/>
          <w:szCs w:val="40"/>
          <w:lang w:bidi="ar"/>
        </w:rPr>
        <w:t>服务</w:t>
      </w:r>
      <w:r>
        <w:rPr>
          <w:rFonts w:ascii="方正公文小标宋" w:hAnsi="方正公文小标宋" w:eastAsia="方正公文小标宋" w:cs="方正公文小标宋"/>
          <w:color w:val="auto"/>
          <w:sz w:val="40"/>
          <w:szCs w:val="40"/>
          <w:lang w:bidi="ar"/>
        </w:rPr>
        <w:t>护士评价指标</w:t>
      </w:r>
    </w:p>
    <w:tbl>
      <w:tblPr>
        <w:tblStyle w:val="3"/>
        <w:tblW w:w="50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991"/>
        <w:gridCol w:w="1381"/>
        <w:gridCol w:w="2119"/>
        <w:gridCol w:w="1580"/>
        <w:gridCol w:w="877"/>
        <w:gridCol w:w="1028"/>
        <w:gridCol w:w="5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blHeader/>
          <w:jc w:val="center"/>
        </w:trPr>
        <w:tc>
          <w:tcPr>
            <w:tcW w:w="338" w:type="pct"/>
            <w:noWrap w:val="0"/>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一级</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w:t>
            </w:r>
          </w:p>
        </w:tc>
        <w:tc>
          <w:tcPr>
            <w:tcW w:w="346" w:type="pct"/>
            <w:noWrap w:val="0"/>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二级</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w:t>
            </w:r>
          </w:p>
        </w:tc>
        <w:tc>
          <w:tcPr>
            <w:tcW w:w="482"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三级指标</w:t>
            </w:r>
          </w:p>
        </w:tc>
        <w:tc>
          <w:tcPr>
            <w:tcW w:w="740"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指标释义</w:t>
            </w:r>
          </w:p>
        </w:tc>
        <w:tc>
          <w:tcPr>
            <w:tcW w:w="552"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信用信息来源</w:t>
            </w:r>
          </w:p>
        </w:tc>
        <w:tc>
          <w:tcPr>
            <w:tcW w:w="306" w:type="pct"/>
            <w:noWrap w:val="0"/>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评分</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方式</w:t>
            </w:r>
          </w:p>
        </w:tc>
        <w:tc>
          <w:tcPr>
            <w:tcW w:w="359" w:type="pct"/>
            <w:noWrap w:val="0"/>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比较</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方式</w:t>
            </w:r>
          </w:p>
        </w:tc>
        <w:tc>
          <w:tcPr>
            <w:tcW w:w="1877"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338" w:type="pct"/>
            <w:noWrap w:val="0"/>
            <w:tcMar>
              <w:left w:w="57" w:type="dxa"/>
              <w:right w:w="57" w:type="dxa"/>
            </w:tcMar>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基础分</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Times New Roman" w:eastAsia="方正书宋_GBK" w:cs="Times New Roman"/>
                <w:b/>
                <w:color w:val="auto"/>
                <w:lang w:bidi="ar"/>
              </w:rPr>
              <w:t>(60</w:t>
            </w:r>
            <w:r>
              <w:rPr>
                <w:rFonts w:hint="eastAsia" w:ascii="方正书宋_GBK" w:hAnsi="方正公文黑体" w:eastAsia="方正书宋_GBK" w:cs="方正公文黑体"/>
                <w:b/>
                <w:color w:val="auto"/>
                <w:lang w:bidi="ar"/>
              </w:rPr>
              <w:t>分</w:t>
            </w:r>
            <w:r>
              <w:rPr>
                <w:rFonts w:hint="eastAsia" w:ascii="方正书宋_GBK" w:hAnsi="Times New Roman" w:eastAsia="方正书宋_GBK" w:cs="Times New Roman"/>
                <w:b/>
                <w:color w:val="auto"/>
                <w:lang w:bidi="ar"/>
              </w:rPr>
              <w:t>)</w:t>
            </w:r>
          </w:p>
        </w:tc>
        <w:tc>
          <w:tcPr>
            <w:tcW w:w="346"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基础分</w:t>
            </w:r>
          </w:p>
        </w:tc>
        <w:tc>
          <w:tcPr>
            <w:tcW w:w="482"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基础分</w:t>
            </w:r>
          </w:p>
        </w:tc>
        <w:tc>
          <w:tcPr>
            <w:tcW w:w="740"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医保护士基础得分</w:t>
            </w:r>
          </w:p>
        </w:tc>
        <w:tc>
          <w:tcPr>
            <w:tcW w:w="552"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系统自动采集</w:t>
            </w:r>
          </w:p>
        </w:tc>
        <w:tc>
          <w:tcPr>
            <w:tcW w:w="306" w:type="pct"/>
            <w:noWrap w:val="0"/>
            <w:vAlign w:val="center"/>
          </w:tcPr>
          <w:p>
            <w:pPr>
              <w:spacing w:line="300" w:lineRule="exact"/>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默认</w:t>
            </w:r>
          </w:p>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计分</w:t>
            </w:r>
          </w:p>
        </w:tc>
        <w:tc>
          <w:tcPr>
            <w:tcW w:w="359" w:type="pct"/>
            <w:noWrap w:val="0"/>
            <w:vAlign w:val="center"/>
          </w:tcPr>
          <w:p>
            <w:pPr>
              <w:spacing w:line="300" w:lineRule="exact"/>
              <w:jc w:val="center"/>
              <w:rPr>
                <w:rFonts w:hint="eastAsia" w:ascii="方正书宋_GBK" w:hAnsi="Times New Roman" w:eastAsia="方正书宋_GBK" w:cs="Times New Roman"/>
                <w:b/>
                <w:color w:val="auto"/>
              </w:rPr>
            </w:pPr>
          </w:p>
        </w:tc>
        <w:tc>
          <w:tcPr>
            <w:tcW w:w="1877" w:type="pct"/>
            <w:noWrap w:val="0"/>
            <w:vAlign w:val="center"/>
          </w:tcPr>
          <w:p>
            <w:pPr>
              <w:spacing w:line="300" w:lineRule="exact"/>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默认</w:t>
            </w:r>
            <w:r>
              <w:rPr>
                <w:rFonts w:hint="eastAsia" w:ascii="方正书宋_GBK" w:hAnsi="Times New Roman" w:eastAsia="方正书宋_GBK" w:cs="Times New Roman"/>
                <w:b/>
                <w:color w:val="auto"/>
                <w:lang w:bidi="ar"/>
              </w:rPr>
              <w:t>60</w:t>
            </w:r>
            <w:r>
              <w:rPr>
                <w:rFonts w:hint="eastAsia" w:ascii="方正书宋_GBK" w:hAnsi="方正公文黑体" w:eastAsia="方正书宋_GBK" w:cs="方正公文黑体"/>
                <w:b/>
                <w:color w:val="auto"/>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jc w:val="center"/>
        </w:trPr>
        <w:tc>
          <w:tcPr>
            <w:tcW w:w="338" w:type="pct"/>
            <w:vMerge w:val="restart"/>
            <w:noWrap w:val="0"/>
            <w:tcMar>
              <w:left w:w="28" w:type="dxa"/>
              <w:right w:w="28"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身份</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特质</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（20分）</w:t>
            </w:r>
          </w:p>
        </w:tc>
        <w:tc>
          <w:tcPr>
            <w:tcW w:w="34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个人</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信息</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完整性</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当期该医保护士个人基本信息完整</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医保护士个人基本信息（包括姓名、身份证号码、医保护士资格证及执业证编码等）的完整程度，如果缺失不得分。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restart"/>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职业</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属性</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（10分）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执业资质</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当期该医保护士取得护士执业资格的年限</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取得护士资格一年以上得1分，取得护士资格四年以上得2分。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职称（5分）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当期该医保护士所在机构职称</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五档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护士（1分）、护师（2分）、主管护师（3分）、副主任护师（4）、主任护师（5）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临床岗位</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当期该医保护士在定点医疗机构是否临床一线</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在临床岗位得满分，非临床一线医保护士不得分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restart"/>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奖励</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情况</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（8分）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受到嘉奖</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受到政府部门、医院表彰奖励</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五档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国家级加5分，省级加4分，地市级加3分，县级加2分，院级加1分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其他嘉奖</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如在重要官方媒体、刊物发表医保相关的文献</w:t>
            </w:r>
          </w:p>
        </w:tc>
        <w:tc>
          <w:tcPr>
            <w:tcW w:w="552" w:type="pct"/>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三挡</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国家级加3分，省级加2分，地市级加1分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jc w:val="center"/>
        </w:trPr>
        <w:tc>
          <w:tcPr>
            <w:tcW w:w="338" w:type="pct"/>
            <w:vMerge w:val="restart"/>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服务</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能力</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（15分）</w:t>
            </w:r>
          </w:p>
        </w:tc>
        <w:tc>
          <w:tcPr>
            <w:tcW w:w="34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贡献度（5分）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专家贡献</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配合医保部门开展专家评审或飞行检查</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数值</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参与医保方面的专家评审一次记0.2分。参加国家级飞行检查一次记3分，参加省级飞行检查一次记2分，参加市级飞行检查一次记1分，参加县级监督检查一次记0.5分，最高得5分。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 xml:space="preserve">规范治疗和护理行为 </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（4分）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遵医嘱执行治疗（2分）</w:t>
            </w:r>
          </w:p>
        </w:tc>
        <w:tc>
          <w:tcPr>
            <w:tcW w:w="740" w:type="pct"/>
            <w:vMerge w:val="restar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由护士执行的特殊治疗、护理项目应严格按照医嘱执行，并在护理记录或特殊治疗、护理记录单记录</w:t>
            </w:r>
          </w:p>
        </w:tc>
        <w:tc>
          <w:tcPr>
            <w:tcW w:w="552" w:type="pct"/>
            <w:vMerge w:val="restar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vMerge w:val="restar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出现有计费但无医嘱或无记录；护士执行治疗、护理与医嘱或收费不符的，每次扣1分，扣完为止。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遵医嘱执行护理（2分）</w:t>
            </w:r>
          </w:p>
        </w:tc>
        <w:tc>
          <w:tcPr>
            <w:tcW w:w="740" w:type="pct"/>
            <w:vMerge w:val="continue"/>
            <w:noWrap w:val="0"/>
            <w:vAlign w:val="center"/>
          </w:tcPr>
          <w:p>
            <w:pPr>
              <w:jc w:val="both"/>
              <w:textAlignment w:val="center"/>
              <w:rPr>
                <w:rFonts w:hint="eastAsia" w:ascii="仿宋_GB2312" w:hAnsi="方正公文仿宋" w:eastAsia="仿宋_GB2312" w:cs="方正公文仿宋"/>
                <w:color w:val="auto"/>
                <w:sz w:val="20"/>
                <w:szCs w:val="20"/>
                <w:lang w:bidi="ar"/>
              </w:rPr>
            </w:pPr>
          </w:p>
        </w:tc>
        <w:tc>
          <w:tcPr>
            <w:tcW w:w="552"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0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59"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vMerge w:val="continue"/>
            <w:noWrap w:val="0"/>
            <w:vAlign w:val="center"/>
          </w:tcPr>
          <w:p>
            <w:pPr>
              <w:jc w:val="both"/>
              <w:textAlignment w:val="center"/>
              <w:rPr>
                <w:rFonts w:hint="eastAsia" w:ascii="仿宋_GB2312" w:hAnsi="方正公文仿宋" w:eastAsia="仿宋_GB2312" w:cs="方正公文仿宋"/>
                <w:color w:val="auto"/>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规范计费</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（4分）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按医保公示项目收费</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（4分）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收费严格符合医保公示项目及价格并及时完善医保公示项目收费记录，高值耗材或特殊内置耗材应保存条码</w:t>
            </w:r>
          </w:p>
        </w:tc>
        <w:tc>
          <w:tcPr>
            <w:tcW w:w="552"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每出现违规计费扣2分/项，最低0分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医保相关政策宣传（2分）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政策咨询服务与帮助</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及时告知患者医保相关政策，为患者提供医保相关的咨询服务与帮助</w:t>
            </w:r>
          </w:p>
        </w:tc>
        <w:tc>
          <w:tcPr>
            <w:tcW w:w="552"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患者提出疑问拒绝解释或存在推诿；政策宣传不当造成误导患者或患者投诉举报的；负面引导宣传查实者。每次扣1分，最低0分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2" w:hRule="atLeast"/>
          <w:jc w:val="center"/>
        </w:trPr>
        <w:tc>
          <w:tcPr>
            <w:tcW w:w="338"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医保服务满意度</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346"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住院患者满意度</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有效回访率（3分）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年度内有效回访人数比例</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三档</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回访人数/护理人数；≥85记3分，80%-85%记2分，＜80%记0分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健康知识宣教（2分）</w:t>
            </w:r>
          </w:p>
        </w:tc>
        <w:tc>
          <w:tcPr>
            <w:tcW w:w="740"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健康科普知识宣讲，发表健康科普文章</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每次加1分，累计最多加2分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5" w:hRule="atLeast"/>
          <w:jc w:val="center"/>
        </w:trPr>
        <w:tc>
          <w:tcPr>
            <w:tcW w:w="338"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违法</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rPr>
                <w:rFonts w:hint="eastAsia" w:eastAsia="宋体"/>
                <w:lang w:bidi="ar"/>
              </w:rPr>
            </w:pPr>
          </w:p>
          <w:p>
            <w:pPr>
              <w:pStyle w:val="2"/>
              <w:rPr>
                <w:rFonts w:hint="eastAsia" w:eastAsia="宋体"/>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违法</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w:t>
            </w:r>
          </w:p>
          <w:p>
            <w:pPr>
              <w:pStyle w:val="2"/>
              <w:rPr>
                <w:rFonts w:hint="eastAsia" w:eastAsia="宋体"/>
                <w:lang w:bidi="ar"/>
              </w:rPr>
            </w:pPr>
          </w:p>
        </w:tc>
        <w:tc>
          <w:tcPr>
            <w:tcW w:w="346"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违反《医疗保障基金使用监督管理条例》 第三十八条</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物资管理</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串换药品、医用耗材、诊疗项目和服务设施</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转卖药品</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为参保人员利用其享受医疗保障待遇的机会转卖药品，接受返还现金、实物或者获得其他非法利益提供便利</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违规结算</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将不属于医疗保障基金支付范围的医药费用纳入医疗保障基金结算</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7"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其它违约</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造成医疗保障基金损失的其他违法行为</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restar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违反《医疗保障基金使用监督管理条例》 第四十条</w:t>
            </w: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协助骗保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tcMar>
              <w:top w:w="57" w:type="dxa"/>
              <w:bottom w:w="57" w:type="dxa"/>
            </w:tcMar>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诱导、协助他人冒名或者虚假就医、购药，提供虚假证明材料，或者串通他人虚开费用单据</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4"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恶意骗保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伪造、变造、隐匿、涂改、销毁医学文书、医学证明、会计凭证、电子信息等有关资料；虚构医药服务项目</w:t>
            </w:r>
          </w:p>
        </w:tc>
        <w:tc>
          <w:tcPr>
            <w:tcW w:w="552" w:type="pct"/>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both"/>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2" w:hRule="atLeast"/>
          <w:jc w:val="center"/>
        </w:trPr>
        <w:tc>
          <w:tcPr>
            <w:tcW w:w="338"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346" w:type="pct"/>
            <w:vMerge w:val="continue"/>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48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其他骗保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0" w:type="pct"/>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1、以骗取医疗保障基金为目的，实施了医疗保障基金使用监督管理条例第</w:t>
            </w:r>
            <w:r>
              <w:rPr>
                <w:rFonts w:hint="eastAsia" w:ascii="仿宋_GB2312" w:hAnsi="仿宋" w:eastAsia="仿宋_GB2312" w:cs="仿宋"/>
                <w:color w:val="auto"/>
                <w:sz w:val="20"/>
                <w:szCs w:val="20"/>
                <w:lang w:eastAsia="zh-CN" w:bidi="ar"/>
              </w:rPr>
              <w:t>四十条</w:t>
            </w:r>
            <w:r>
              <w:rPr>
                <w:rFonts w:hint="eastAsia" w:ascii="仿宋_GB2312" w:hAnsi="仿宋" w:eastAsia="仿宋_GB2312" w:cs="仿宋"/>
                <w:color w:val="auto"/>
                <w:sz w:val="20"/>
                <w:szCs w:val="20"/>
                <w:lang w:bidi="ar"/>
              </w:rPr>
              <w:t>行为之一，造成医疗保障基金损失的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2、其他骗取医疗保障基金支出的行为</w:t>
            </w:r>
            <w:r>
              <w:rPr>
                <w:rFonts w:hint="eastAsia" w:ascii="仿宋_GB2312" w:hAnsi="方正公文仿宋" w:eastAsia="仿宋_GB2312" w:cs="方正公文仿宋"/>
                <w:color w:val="auto"/>
                <w:sz w:val="20"/>
                <w:szCs w:val="20"/>
                <w:lang w:bidi="ar"/>
              </w:rPr>
              <w:t xml:space="preserve">    </w:t>
            </w:r>
          </w:p>
        </w:tc>
        <w:tc>
          <w:tcPr>
            <w:tcW w:w="552"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306"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359" w:type="pct"/>
            <w:noWrap w:val="0"/>
            <w:vAlign w:val="center"/>
          </w:tcPr>
          <w:p>
            <w:pPr>
              <w:jc w:val="center"/>
              <w:textAlignment w:val="center"/>
              <w:rPr>
                <w:rFonts w:hint="eastAsia" w:ascii="仿宋_GB2312" w:hAnsi="方正公文仿宋" w:eastAsia="仿宋_GB2312" w:cs="方正公文仿宋"/>
                <w:color w:val="auto"/>
                <w:sz w:val="20"/>
                <w:szCs w:val="20"/>
                <w:lang w:bidi="ar"/>
              </w:rPr>
            </w:pPr>
          </w:p>
        </w:tc>
        <w:tc>
          <w:tcPr>
            <w:tcW w:w="1877" w:type="pct"/>
            <w:noWrap/>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一次扣60分</w:t>
            </w:r>
          </w:p>
        </w:tc>
      </w:tr>
    </w:tbl>
    <w:p>
      <w:pPr>
        <w:kinsoku/>
        <w:spacing w:before="291" w:line="219" w:lineRule="auto"/>
        <w:ind w:left="71"/>
        <w:jc w:val="both"/>
        <w:rPr>
          <w:rFonts w:hint="eastAsia" w:ascii="仿宋_GB2312" w:hAnsi="仿宋" w:eastAsia="仿宋_GB2312" w:cs="仿宋"/>
          <w:color w:val="auto"/>
        </w:rPr>
      </w:pPr>
      <w:r>
        <w:rPr>
          <w:rFonts w:hint="eastAsia" w:ascii="仿宋_GB2312" w:hAnsi="仿宋" w:eastAsia="仿宋_GB2312" w:cs="仿宋"/>
          <w:color w:val="auto"/>
          <w:spacing w:val="-1"/>
        </w:rPr>
        <w:t>注：日常医保服务</w:t>
      </w:r>
      <w:r>
        <w:rPr>
          <w:rFonts w:hint="eastAsia" w:ascii="仿宋_GB2312" w:hAnsi="仿宋" w:eastAsia="仿宋_GB2312" w:cs="仿宋"/>
          <w:color w:val="auto"/>
        </w:rPr>
        <w:t>工作指标内的指标在无扣分情况分值会给予护士</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0000000000000000000"/>
    <w:charset w:val="00"/>
    <w:family w:val="auto"/>
    <w:pitch w:val="default"/>
    <w:sig w:usb0="00000000" w:usb1="00000000" w:usb2="00000000"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公文黑体">
    <w:altName w:val="黑体"/>
    <w:panose1 w:val="00000000000000000000"/>
    <w:charset w:val="00"/>
    <w:family w:val="auto"/>
    <w:pitch w:val="default"/>
    <w:sig w:usb0="00000000" w:usb1="00000000" w:usb2="00000000" w:usb3="00000000" w:csb0="00040001" w:csb1="00000000"/>
  </w:font>
  <w:font w:name="方正公文仿宋">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YjQxMDE0NmY0NjkxNDJkNWMwNDdhZDAwMWYyMDYifQ=="/>
  </w:docVars>
  <w:rsids>
    <w:rsidRoot w:val="00000000"/>
    <w:rsid w:val="7BED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2023-07-26T02:14:59Z</dcterms:created>
  <dc:creator>Administrator</dc:creator>
  <cp:lastModifiedBy>哈里.奥弗斯特里特</cp:lastModifiedBy>
  <dcterms:modified xsi:type="dcterms:W3CDTF">2023-07-26T02:15:25Z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169C9986B7D841F7BE4E8FE2FF622616_12</vt:lpwstr>
  </property>
</Properties>
</file>