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jc w:val="both"/>
        <w:rPr>
          <w:rFonts w:hint="eastAsia" w:ascii="仿宋_GB2312" w:hAnsi="仿宋" w:eastAsia="仿宋_GB2312" w:cs="仿宋"/>
          <w:color w:val="auto"/>
          <w:sz w:val="32"/>
          <w:szCs w:val="32"/>
        </w:rPr>
      </w:pPr>
      <w:r>
        <w:rPr>
          <w:rFonts w:hint="eastAsia" w:ascii="仿宋_GB2312" w:hAnsi="仿宋" w:eastAsia="仿宋_GB2312" w:cs="仿宋"/>
          <w:color w:val="auto"/>
          <w:spacing w:val="-17"/>
          <w:sz w:val="32"/>
          <w:szCs w:val="32"/>
        </w:rPr>
        <w:t>附件2：</w:t>
      </w:r>
    </w:p>
    <w:p>
      <w:pPr>
        <w:kinsoku/>
        <w:spacing w:before="100" w:line="215" w:lineRule="auto"/>
        <w:ind w:left="4330"/>
        <w:jc w:val="both"/>
        <w:rPr>
          <w:rFonts w:hint="eastAsia" w:ascii="方正小标宋_GBK" w:hAnsi="微软雅黑" w:eastAsia="方正小标宋_GBK" w:cs="微软雅黑"/>
          <w:color w:val="auto"/>
          <w:sz w:val="44"/>
          <w:szCs w:val="44"/>
        </w:rPr>
      </w:pPr>
      <w:r>
        <w:rPr>
          <w:rFonts w:hint="eastAsia" w:ascii="方正小标宋_GBK" w:hAnsi="微软雅黑" w:eastAsia="方正小标宋_GBK" w:cs="微软雅黑"/>
          <w:color w:val="auto"/>
          <w:spacing w:val="10"/>
          <w:sz w:val="44"/>
          <w:szCs w:val="44"/>
        </w:rPr>
        <w:t>定点医疗机构评价指标</w:t>
      </w:r>
    </w:p>
    <w:p>
      <w:pPr>
        <w:kinsoku/>
        <w:spacing w:line="16" w:lineRule="exact"/>
        <w:jc w:val="both"/>
        <w:rPr>
          <w:color w:val="auto"/>
        </w:rPr>
      </w:pPr>
    </w:p>
    <w:p>
      <w:pPr>
        <w:kinsoku/>
        <w:spacing w:line="207" w:lineRule="exact"/>
        <w:jc w:val="both"/>
        <w:rPr>
          <w:color w:val="auto"/>
          <w:sz w:val="18"/>
        </w:rPr>
      </w:pPr>
    </w:p>
    <w:tbl>
      <w:tblPr>
        <w:tblStyle w:val="3"/>
        <w:tblW w:w="14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119"/>
        <w:gridCol w:w="1100"/>
        <w:gridCol w:w="2286"/>
        <w:gridCol w:w="1662"/>
        <w:gridCol w:w="867"/>
        <w:gridCol w:w="957"/>
        <w:gridCol w:w="4518"/>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876"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一级</w:t>
            </w:r>
          </w:p>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指标</w:t>
            </w:r>
          </w:p>
        </w:tc>
        <w:tc>
          <w:tcPr>
            <w:tcW w:w="1119"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二级指标</w:t>
            </w:r>
          </w:p>
        </w:tc>
        <w:tc>
          <w:tcPr>
            <w:tcW w:w="1100"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三级指标</w:t>
            </w:r>
          </w:p>
        </w:tc>
        <w:tc>
          <w:tcPr>
            <w:tcW w:w="2286"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指标释义</w:t>
            </w:r>
          </w:p>
        </w:tc>
        <w:tc>
          <w:tcPr>
            <w:tcW w:w="1662"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信用信息来源</w:t>
            </w:r>
          </w:p>
        </w:tc>
        <w:tc>
          <w:tcPr>
            <w:tcW w:w="867"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评分</w:t>
            </w:r>
          </w:p>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方式</w:t>
            </w:r>
          </w:p>
        </w:tc>
        <w:tc>
          <w:tcPr>
            <w:tcW w:w="957"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比较</w:t>
            </w:r>
          </w:p>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方式</w:t>
            </w:r>
          </w:p>
        </w:tc>
        <w:tc>
          <w:tcPr>
            <w:tcW w:w="4518"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评分标准</w:t>
            </w:r>
          </w:p>
        </w:tc>
        <w:tc>
          <w:tcPr>
            <w:tcW w:w="0" w:type="auto"/>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76"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基础分(60分)</w:t>
            </w:r>
          </w:p>
        </w:tc>
        <w:tc>
          <w:tcPr>
            <w:tcW w:w="1119"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基础分</w:t>
            </w:r>
          </w:p>
        </w:tc>
        <w:tc>
          <w:tcPr>
            <w:tcW w:w="1100"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基础分</w:t>
            </w:r>
          </w:p>
        </w:tc>
        <w:tc>
          <w:tcPr>
            <w:tcW w:w="2286"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医疗机构基础得分</w:t>
            </w:r>
          </w:p>
        </w:tc>
        <w:tc>
          <w:tcPr>
            <w:tcW w:w="1662"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系统自动采集</w:t>
            </w:r>
          </w:p>
        </w:tc>
        <w:tc>
          <w:tcPr>
            <w:tcW w:w="867"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默认</w:t>
            </w:r>
          </w:p>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计分</w:t>
            </w:r>
          </w:p>
        </w:tc>
        <w:tc>
          <w:tcPr>
            <w:tcW w:w="957"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p>
        </w:tc>
        <w:tc>
          <w:tcPr>
            <w:tcW w:w="4518" w:type="dxa"/>
            <w:noWrap w:val="0"/>
            <w:vAlign w:val="center"/>
          </w:tcPr>
          <w:p>
            <w:pPr>
              <w:kinsoku/>
              <w:spacing w:line="280" w:lineRule="exact"/>
              <w:jc w:val="center"/>
              <w:textAlignment w:val="center"/>
              <w:rPr>
                <w:rFonts w:hint="eastAsia" w:ascii="方正书宋_GBK" w:hAnsi="宋体" w:eastAsia="方正书宋_GBK" w:cs="宋体"/>
                <w:b/>
                <w:bCs/>
                <w:color w:val="auto"/>
                <w:lang w:bidi="ar"/>
              </w:rPr>
            </w:pPr>
            <w:r>
              <w:rPr>
                <w:rFonts w:hint="eastAsia" w:ascii="方正书宋_GBK" w:hAnsi="宋体" w:eastAsia="方正书宋_GBK" w:cs="宋体"/>
                <w:b/>
                <w:bCs/>
                <w:color w:val="auto"/>
                <w:lang w:bidi="ar"/>
              </w:rPr>
              <w:t>默认60分</w:t>
            </w:r>
          </w:p>
        </w:tc>
        <w:tc>
          <w:tcPr>
            <w:tcW w:w="0" w:type="auto"/>
            <w:noWrap w:val="0"/>
            <w:vAlign w:val="center"/>
          </w:tcPr>
          <w:p>
            <w:pPr>
              <w:kinsoku/>
              <w:spacing w:line="280" w:lineRule="exact"/>
              <w:jc w:val="center"/>
              <w:textAlignment w:val="center"/>
              <w:rPr>
                <w:rFonts w:hint="eastAsia" w:ascii="方正书宋_GBK" w:hAnsi="宋体" w:eastAsia="方正书宋_GBK" w:cs="宋体"/>
                <w:b/>
                <w:bCs/>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jc w:val="center"/>
        </w:trPr>
        <w:tc>
          <w:tcPr>
            <w:tcW w:w="876" w:type="dxa"/>
            <w:vMerge w:val="restart"/>
            <w:noWrap w:val="0"/>
            <w:vAlign w:val="center"/>
          </w:tcPr>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pStyle w:val="2"/>
              <w:jc w:val="center"/>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基金</w:t>
            </w: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绩效</w:t>
            </w: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（20分）</w:t>
            </w: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基金</w:t>
            </w: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绩效</w:t>
            </w: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（20分）</w:t>
            </w:r>
          </w:p>
          <w:p>
            <w:pPr>
              <w:pStyle w:val="2"/>
              <w:jc w:val="center"/>
              <w:rPr>
                <w:rFonts w:hint="eastAsia" w:eastAsia="宋体"/>
                <w:lang w:bidi="ar"/>
              </w:rPr>
            </w:pPr>
          </w:p>
        </w:tc>
        <w:tc>
          <w:tcPr>
            <w:tcW w:w="1119" w:type="dxa"/>
            <w:vMerge w:val="restart"/>
            <w:noWrap w:val="0"/>
            <w:vAlign w:val="center"/>
          </w:tcPr>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pStyle w:val="2"/>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提升医保基金使用效率</w:t>
            </w: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(20分)</w:t>
            </w: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pStyle w:val="2"/>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pStyle w:val="2"/>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提升医保基金使用效率</w:t>
            </w: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(20分)</w:t>
            </w:r>
          </w:p>
          <w:p>
            <w:pPr>
              <w:kinsoku/>
              <w:jc w:val="center"/>
              <w:textAlignment w:val="center"/>
              <w:rPr>
                <w:rFonts w:hint="eastAsia" w:ascii="仿宋_GB2312" w:hAnsi="仿宋" w:eastAsia="仿宋_GB2312" w:cs="仿宋"/>
                <w:color w:val="auto"/>
                <w:sz w:val="20"/>
                <w:szCs w:val="20"/>
                <w:lang w:bidi="ar"/>
              </w:rPr>
            </w:pPr>
          </w:p>
          <w:p>
            <w:pPr>
              <w:pStyle w:val="2"/>
              <w:rPr>
                <w:rFonts w:hint="eastAsia" w:eastAsia="宋体"/>
                <w:lang w:bidi="ar"/>
              </w:rPr>
            </w:pPr>
          </w:p>
        </w:tc>
        <w:tc>
          <w:tcPr>
            <w:tcW w:w="1100"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均次费用（6分）</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同种疾病人均住院医疗费用</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系统自动采集</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按值</w:t>
            </w: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计分</w:t>
            </w:r>
          </w:p>
        </w:tc>
        <w:tc>
          <w:tcPr>
            <w:tcW w:w="95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同级同期同区域比较</w:t>
            </w:r>
          </w:p>
        </w:tc>
        <w:tc>
          <w:tcPr>
            <w:tcW w:w="4518" w:type="dxa"/>
            <w:noWrap w:val="0"/>
            <w:vAlign w:val="center"/>
          </w:tcPr>
          <w:p>
            <w:pPr>
              <w:kinsoku/>
              <w:spacing w:line="270" w:lineRule="exact"/>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二三级医疗机构：</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1.每种疾病均次费用最低的得6分，每增加一个百分点扣0.05分。</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2.再将每种疾病均次费用得分乘以每种疾病权重占比求和，即为均次费用的最终得分，最低得分1分。</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二级以下医疗机构：</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①假设同级同区域中医疗机构在某种疾病最低的人均医疗费用为a，最高的人均医疗费用为c，某机构在该疾病的人均医疗费用为b，则该机构在该疾病的人均医疗费用得分x=6*（c-b）/（c-a），其中a≠c，否则均计0分；②再将每种疾病人均医疗费用得分乘以每种疾病权重占比求和，即为人均医疗费用得分。</w:t>
            </w:r>
          </w:p>
        </w:tc>
        <w:tc>
          <w:tcPr>
            <w:tcW w:w="0" w:type="auto"/>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住院总费用/总人次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876" w:type="dxa"/>
            <w:vMerge w:val="continue"/>
            <w:noWrap w:val="0"/>
            <w:vAlign w:val="center"/>
          </w:tcPr>
          <w:p>
            <w:pPr>
              <w:kinsoku/>
              <w:jc w:val="center"/>
              <w:textAlignment w:val="center"/>
              <w:rPr>
                <w:rFonts w:hint="eastAsia" w:ascii="仿宋_GB2312" w:hAnsi="仿宋" w:eastAsia="仿宋_GB2312" w:cs="仿宋"/>
                <w:color w:val="auto"/>
                <w:sz w:val="20"/>
                <w:szCs w:val="20"/>
                <w:lang w:bidi="ar"/>
              </w:rPr>
            </w:pPr>
          </w:p>
        </w:tc>
        <w:tc>
          <w:tcPr>
            <w:tcW w:w="1119"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1100"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报销比例</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（6分）</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根据医疗机构给患者治疗，产生的实际报销比例</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系统自动采集</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按值</w:t>
            </w: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计分</w:t>
            </w:r>
          </w:p>
        </w:tc>
        <w:tc>
          <w:tcPr>
            <w:tcW w:w="95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同级同期同区域比较</w:t>
            </w:r>
          </w:p>
        </w:tc>
        <w:tc>
          <w:tcPr>
            <w:tcW w:w="4518" w:type="dxa"/>
            <w:noWrap w:val="0"/>
            <w:vAlign w:val="center"/>
          </w:tcPr>
          <w:p>
            <w:pPr>
              <w:kinsoku/>
              <w:spacing w:line="270" w:lineRule="exact"/>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二三级医疗机构：</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报销比例最高的得6分，每减少一个百分点扣0.05分，最低得分1分。</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二级以下医疗机构：</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根据区域内同级医疗机构的患者报账比例的高低得出评分，假设最高的为c，最低的为a，某机构报账比例为b，则该机构在报账比例得分x=6*（b-a）/（c-a），其中a≠c，否则均计0分。</w:t>
            </w:r>
          </w:p>
        </w:tc>
        <w:tc>
          <w:tcPr>
            <w:tcW w:w="0" w:type="auto"/>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住院报销金额/住院总费用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876" w:type="dxa"/>
            <w:vMerge w:val="continue"/>
            <w:noWrap w:val="0"/>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c>
          <w:tcPr>
            <w:tcW w:w="1100"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药品占比</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（4分）</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考核定点医疗机构使用药品占比</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系统自动采集</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按值计分</w:t>
            </w:r>
          </w:p>
        </w:tc>
        <w:tc>
          <w:tcPr>
            <w:tcW w:w="95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同级同期同区域比较</w:t>
            </w: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二三级医疗机构：</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药品占比最低的得4分，每增加一个百分点扣0.03分，最低得分1分。</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二级以下医疗机构：</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根据区域内同级医疗机构的药品占比的高低得出评分，假设最高的为c，最低的为a，某机构药品占比比例为b，则该机构在此项得分x=4*（c-b）/（c-a），其中a≠c，否则均计0分。</w:t>
            </w:r>
          </w:p>
        </w:tc>
        <w:tc>
          <w:tcPr>
            <w:tcW w:w="0" w:type="auto"/>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住院药品总费用/住院总费用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876" w:type="dxa"/>
            <w:vMerge w:val="continue"/>
            <w:noWrap w:val="0"/>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c>
          <w:tcPr>
            <w:tcW w:w="1100"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全自费费用比例</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（4分）</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考核定点医疗机构使用全自费费用占比，严格执行医保目录，控制患者全自费比例</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系统自动采集</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按值计分</w:t>
            </w:r>
          </w:p>
        </w:tc>
        <w:tc>
          <w:tcPr>
            <w:tcW w:w="95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同级同期同区域比较</w:t>
            </w: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二级以下医疗机构基本医保目录外费用占比平均不超过5%；二级及以上医疗机构基本医保目录外费用占比平均不超过 10%。二级以下医疗机构低于5%、二级及以上医疗机构低于10%为满分。每增加一个百分点扣0.2分，最低得分1分。</w:t>
            </w:r>
          </w:p>
        </w:tc>
        <w:tc>
          <w:tcPr>
            <w:tcW w:w="0" w:type="auto"/>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住院全自费费用/住院总费用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jc w:val="center"/>
        </w:trPr>
        <w:tc>
          <w:tcPr>
            <w:tcW w:w="876" w:type="dxa"/>
            <w:vMerge w:val="restart"/>
            <w:noWrap w:val="0"/>
            <w:vAlign w:val="center"/>
          </w:tcPr>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pStyle w:val="2"/>
              <w:jc w:val="center"/>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内部</w:t>
            </w: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管理       （5分）</w:t>
            </w: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pStyle w:val="2"/>
              <w:jc w:val="center"/>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内部</w:t>
            </w:r>
          </w:p>
          <w:p>
            <w:pPr>
              <w:jc w:val="center"/>
              <w:rPr>
                <w:rFonts w:hint="eastAsia" w:eastAsia="宋体"/>
                <w:lang w:bidi="ar"/>
              </w:rPr>
            </w:pPr>
            <w:r>
              <w:rPr>
                <w:rFonts w:hint="eastAsia" w:ascii="仿宋_GB2312" w:hAnsi="仿宋" w:eastAsia="仿宋_GB2312" w:cs="仿宋"/>
                <w:color w:val="auto"/>
                <w:sz w:val="20"/>
                <w:szCs w:val="20"/>
                <w:lang w:bidi="ar"/>
              </w:rPr>
              <w:t>管理       （5分）</w:t>
            </w:r>
          </w:p>
        </w:tc>
        <w:tc>
          <w:tcPr>
            <w:tcW w:w="1119" w:type="dxa"/>
            <w:vMerge w:val="restart"/>
            <w:noWrap w:val="0"/>
            <w:vAlign w:val="center"/>
          </w:tcPr>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pStyle w:val="2"/>
              <w:jc w:val="center"/>
              <w:rPr>
                <w:rFonts w:hint="eastAsia" w:eastAsia="宋体"/>
                <w:lang w:bidi="ar"/>
              </w:rPr>
            </w:pPr>
          </w:p>
          <w:p>
            <w:pPr>
              <w:jc w:val="center"/>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自律管理(5分)</w:t>
            </w: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自律管理(5分)</w:t>
            </w:r>
          </w:p>
          <w:p>
            <w:pPr>
              <w:pStyle w:val="2"/>
              <w:jc w:val="center"/>
              <w:rPr>
                <w:rFonts w:hint="eastAsia" w:eastAsia="宋体"/>
                <w:lang w:bidi="ar"/>
              </w:rPr>
            </w:pPr>
          </w:p>
          <w:p>
            <w:pPr>
              <w:jc w:val="center"/>
              <w:rPr>
                <w:rFonts w:hint="eastAsia" w:eastAsia="宋体"/>
                <w:lang w:bidi="ar"/>
              </w:rPr>
            </w:pPr>
          </w:p>
        </w:tc>
        <w:tc>
          <w:tcPr>
            <w:tcW w:w="1100" w:type="dxa"/>
            <w:noWrap w:val="0"/>
            <w:vAlign w:val="center"/>
          </w:tcPr>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pStyle w:val="2"/>
              <w:jc w:val="center"/>
              <w:rPr>
                <w:rFonts w:hint="eastAsia" w:eastAsia="宋体"/>
                <w:lang w:bidi="ar"/>
              </w:rPr>
            </w:pPr>
          </w:p>
          <w:p>
            <w:pPr>
              <w:jc w:val="center"/>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p>
          <w:p>
            <w:pPr>
              <w:pStyle w:val="2"/>
              <w:jc w:val="center"/>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管理组织(2分)</w:t>
            </w:r>
          </w:p>
          <w:p>
            <w:pPr>
              <w:kinsoku/>
              <w:jc w:val="center"/>
              <w:textAlignment w:val="center"/>
              <w:rPr>
                <w:rFonts w:hint="eastAsia" w:ascii="仿宋_GB2312" w:hAnsi="仿宋" w:eastAsia="仿宋_GB2312" w:cs="仿宋"/>
                <w:color w:val="auto"/>
                <w:sz w:val="20"/>
                <w:szCs w:val="20"/>
                <w:lang w:bidi="ar"/>
              </w:rPr>
            </w:pPr>
          </w:p>
          <w:p>
            <w:pPr>
              <w:pStyle w:val="2"/>
              <w:jc w:val="center"/>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pStyle w:val="2"/>
              <w:jc w:val="center"/>
              <w:rPr>
                <w:rFonts w:hint="eastAsia" w:eastAsia="宋体"/>
                <w:lang w:bidi="ar"/>
              </w:rPr>
            </w:pP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建立健全医疗保障管理服务部门，明确院级领导分管，配备专(兼)职管理人员，人数与管理需要相适应，通过院内信息系统进行即时监控并有效行使管理职能。有组织、有计划开展医务人员医德医风、行业自律教育，进行医疗保障政策和管理求培训</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方正公文仿宋" w:eastAsia="仿宋_GB2312" w:cs="方正公文仿宋"/>
                <w:color w:val="auto"/>
                <w:sz w:val="22"/>
                <w:szCs w:val="22"/>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分档打分：三档</w:t>
            </w:r>
          </w:p>
        </w:tc>
        <w:tc>
          <w:tcPr>
            <w:tcW w:w="957" w:type="dxa"/>
            <w:noWrap w:val="0"/>
            <w:vAlign w:val="center"/>
          </w:tcPr>
          <w:p>
            <w:pPr>
              <w:kinsoku/>
              <w:jc w:val="center"/>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开展全部工作计2分；开展部分工作计1分；未开展相关工作计0分。</w:t>
            </w:r>
          </w:p>
        </w:tc>
        <w:tc>
          <w:tcPr>
            <w:tcW w:w="0" w:type="auto"/>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trPr>
        <w:tc>
          <w:tcPr>
            <w:tcW w:w="876" w:type="dxa"/>
            <w:vMerge w:val="continue"/>
            <w:noWrap w:val="0"/>
            <w:vAlign w:val="center"/>
          </w:tcPr>
          <w:p>
            <w:pPr>
              <w:kinsoku/>
              <w:jc w:val="center"/>
              <w:textAlignment w:val="center"/>
              <w:rPr>
                <w:rFonts w:hint="eastAsia" w:ascii="仿宋_GB2312" w:hAnsi="仿宋" w:eastAsia="仿宋_GB2312" w:cs="仿宋"/>
                <w:color w:val="auto"/>
                <w:sz w:val="20"/>
                <w:szCs w:val="20"/>
                <w:lang w:bidi="ar"/>
              </w:rPr>
            </w:pPr>
          </w:p>
        </w:tc>
        <w:tc>
          <w:tcPr>
            <w:tcW w:w="1119"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风险防控(2分)</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建立内审工作机制，防范超支风险;开展医疗保障防风险管理，定期分析排查院内贯彻医疗保障政策、执行收费规定、有效控制费用和防范诈骗保的风险点，采取积极应对措施</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方正公文仿宋" w:eastAsia="仿宋_GB2312" w:cs="方正公文仿宋"/>
                <w:color w:val="auto"/>
                <w:sz w:val="22"/>
                <w:szCs w:val="22"/>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分档打分：三档</w:t>
            </w:r>
          </w:p>
        </w:tc>
        <w:tc>
          <w:tcPr>
            <w:tcW w:w="957" w:type="dxa"/>
            <w:noWrap w:val="0"/>
            <w:vAlign w:val="center"/>
          </w:tcPr>
          <w:p>
            <w:pPr>
              <w:kinsoku/>
              <w:jc w:val="center"/>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开展全部工作计2分；开展部分工作计1分；未开展相关工作计0分。</w:t>
            </w:r>
          </w:p>
        </w:tc>
        <w:tc>
          <w:tcPr>
            <w:tcW w:w="0" w:type="auto"/>
            <w:noWrap w:val="0"/>
            <w:vAlign w:val="center"/>
          </w:tcPr>
          <w:p>
            <w:pPr>
              <w:kinsoku/>
              <w:jc w:val="both"/>
              <w:textAlignment w:val="center"/>
              <w:rPr>
                <w:rFonts w:hint="eastAsia" w:ascii="仿宋_GB2312" w:hAnsi="微软雅黑" w:eastAsia="仿宋_GB2312" w:cs="微软雅黑"/>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876" w:type="dxa"/>
            <w:vMerge w:val="continue"/>
            <w:noWrap w:val="0"/>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创新医疗保障管理(1分)</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开展医疗保障管理创新性工作</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方正公文仿宋" w:eastAsia="仿宋_GB2312" w:cs="方正公文仿宋"/>
                <w:color w:val="auto"/>
                <w:sz w:val="22"/>
                <w:szCs w:val="22"/>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分档打分：两档</w:t>
            </w:r>
          </w:p>
        </w:tc>
        <w:tc>
          <w:tcPr>
            <w:tcW w:w="957" w:type="dxa"/>
            <w:noWrap w:val="0"/>
            <w:vAlign w:val="center"/>
          </w:tcPr>
          <w:p>
            <w:pPr>
              <w:kinsoku/>
              <w:jc w:val="center"/>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开展医保管理创新性工作、受到医保部门通报表扬或者在报刊杂志等媒体发表医保管理工作相关论文计1分；未开展计0分。</w:t>
            </w:r>
          </w:p>
        </w:tc>
        <w:tc>
          <w:tcPr>
            <w:tcW w:w="0" w:type="auto"/>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76"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医师评价（5分）</w:t>
            </w:r>
          </w:p>
        </w:tc>
        <w:tc>
          <w:tcPr>
            <w:tcW w:w="1119"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医师信用评价(5分)</w:t>
            </w:r>
          </w:p>
        </w:tc>
        <w:tc>
          <w:tcPr>
            <w:tcW w:w="1100"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医师信用评价(5分)</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本机构医保医师总体信用评价情况</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系统自动采集</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按值计分</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年度医保医师信用等级优秀占比≥15%得满分，每降低一个百分点扣0.4分，扣完为止。</w:t>
            </w:r>
          </w:p>
        </w:tc>
        <w:tc>
          <w:tcPr>
            <w:tcW w:w="0" w:type="auto"/>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876" w:type="dxa"/>
            <w:vMerge w:val="restart"/>
            <w:noWrap w:val="0"/>
            <w:vAlign w:val="center"/>
          </w:tcPr>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kinsoku/>
              <w:jc w:val="center"/>
              <w:textAlignment w:val="center"/>
              <w:rPr>
                <w:rFonts w:hint="eastAsia" w:ascii="仿宋_GB2312" w:hAnsi="仿宋" w:eastAsia="仿宋_GB2312" w:cs="仿宋"/>
                <w:color w:val="auto"/>
                <w:sz w:val="20"/>
                <w:szCs w:val="20"/>
                <w:lang w:bidi="ar"/>
              </w:rPr>
            </w:pPr>
          </w:p>
          <w:p>
            <w:pPr>
              <w:pStyle w:val="2"/>
              <w:jc w:val="center"/>
              <w:rPr>
                <w:rFonts w:hint="eastAsia" w:eastAsia="宋体"/>
                <w:lang w:bidi="ar"/>
              </w:rPr>
            </w:pPr>
          </w:p>
          <w:p>
            <w:pPr>
              <w:jc w:val="center"/>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满意度评价（10分）</w:t>
            </w: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满意度评价（10分）</w:t>
            </w:r>
          </w:p>
          <w:p>
            <w:pPr>
              <w:jc w:val="center"/>
              <w:rPr>
                <w:rFonts w:hint="eastAsia" w:eastAsia="宋体"/>
                <w:lang w:bidi="ar"/>
              </w:rPr>
            </w:pPr>
          </w:p>
        </w:tc>
        <w:tc>
          <w:tcPr>
            <w:tcW w:w="1119"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患者评价(1分)</w:t>
            </w:r>
          </w:p>
        </w:tc>
        <w:tc>
          <w:tcPr>
            <w:tcW w:w="1100"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患者满意度(1分)</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参保人员对治疗效果、诊疗服务、医疗保障报销服务等满意度</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方正公文仿宋" w:eastAsia="仿宋_GB2312" w:cs="方正公文仿宋"/>
                <w:color w:val="auto"/>
                <w:sz w:val="22"/>
                <w:szCs w:val="22"/>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分档打分：三档</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满意度低于90%，计0.3分; 90%≤满意度</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&lt;100%计0.5分;满意度为100%计1分。</w:t>
            </w:r>
          </w:p>
        </w:tc>
        <w:tc>
          <w:tcPr>
            <w:tcW w:w="0" w:type="auto"/>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876" w:type="dxa"/>
            <w:vMerge w:val="continue"/>
            <w:noWrap w:val="0"/>
            <w:vAlign w:val="center"/>
          </w:tcPr>
          <w:p>
            <w:pPr>
              <w:kinsoku/>
              <w:jc w:val="center"/>
              <w:textAlignment w:val="center"/>
              <w:rPr>
                <w:rFonts w:hint="eastAsia" w:ascii="仿宋_GB2312" w:hAnsi="仿宋" w:eastAsia="仿宋_GB2312" w:cs="仿宋"/>
                <w:color w:val="auto"/>
                <w:sz w:val="20"/>
                <w:szCs w:val="20"/>
                <w:lang w:bidi="ar"/>
              </w:rPr>
            </w:pPr>
          </w:p>
        </w:tc>
        <w:tc>
          <w:tcPr>
            <w:tcW w:w="1119"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舆情评价(1分)</w:t>
            </w:r>
          </w:p>
        </w:tc>
        <w:tc>
          <w:tcPr>
            <w:tcW w:w="1100"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媒体报道(1分)</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媒体报道关于医保管理服务工作的情况</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方正公文仿宋" w:eastAsia="仿宋_GB2312" w:cs="方正公文仿宋"/>
                <w:color w:val="auto"/>
                <w:sz w:val="22"/>
                <w:szCs w:val="22"/>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分档打分：三档</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在市级及以上媒体正面报道计1分，无报道计0.5分，在市级及以上媒体负面报道计0分。</w:t>
            </w:r>
          </w:p>
        </w:tc>
        <w:tc>
          <w:tcPr>
            <w:tcW w:w="0" w:type="auto"/>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876" w:type="dxa"/>
            <w:vMerge w:val="continue"/>
            <w:noWrap w:val="0"/>
            <w:vAlign w:val="center"/>
          </w:tcPr>
          <w:p>
            <w:pPr>
              <w:kinsoku/>
              <w:jc w:val="center"/>
              <w:textAlignment w:val="center"/>
              <w:rPr>
                <w:rFonts w:hint="eastAsia" w:ascii="仿宋_GB2312" w:hAnsi="仿宋" w:eastAsia="仿宋_GB2312" w:cs="仿宋"/>
                <w:color w:val="auto"/>
                <w:sz w:val="20"/>
                <w:szCs w:val="20"/>
                <w:lang w:bidi="ar"/>
              </w:rPr>
            </w:pPr>
          </w:p>
        </w:tc>
        <w:tc>
          <w:tcPr>
            <w:tcW w:w="1119"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投诉或表扬(2分)</w:t>
            </w:r>
          </w:p>
        </w:tc>
        <w:tc>
          <w:tcPr>
            <w:tcW w:w="1100"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有效投诉或表扬</w:t>
            </w: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(2分)</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关于医保服务工作的情况，因投诉受到处理或书面表扬</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方正公文仿宋" w:eastAsia="仿宋_GB2312" w:cs="方正公文仿宋"/>
                <w:color w:val="auto"/>
                <w:sz w:val="22"/>
                <w:szCs w:val="22"/>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分档打分：三档</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受到表扬计2分，无投诉表扬计1分，受到有效投诉计0分。(举报患者冒名顶替等欺诈骗保行为属实受到表扬的奖励计2分、患者因医保服务投诉至行政、医保、热线、红网等经查证属实或者未及时处理回复的计0分。)</w:t>
            </w:r>
          </w:p>
        </w:tc>
        <w:tc>
          <w:tcPr>
            <w:tcW w:w="0" w:type="auto"/>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876" w:type="dxa"/>
            <w:vMerge w:val="continue"/>
            <w:noWrap w:val="0"/>
            <w:vAlign w:val="center"/>
          </w:tcPr>
          <w:p>
            <w:pPr>
              <w:kinsoku/>
              <w:jc w:val="center"/>
              <w:textAlignment w:val="center"/>
              <w:rPr>
                <w:rFonts w:hint="eastAsia" w:ascii="仿宋_GB2312" w:hAnsi="仿宋" w:eastAsia="仿宋_GB2312" w:cs="仿宋"/>
                <w:color w:val="auto"/>
                <w:sz w:val="20"/>
                <w:szCs w:val="20"/>
                <w:lang w:bidi="ar"/>
              </w:rPr>
            </w:pPr>
          </w:p>
        </w:tc>
        <w:tc>
          <w:tcPr>
            <w:tcW w:w="1119" w:type="dxa"/>
            <w:vMerge w:val="restart"/>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奖励情况(6分)</w:t>
            </w: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县级以上政府奖励(3分)</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在医疗、医保服务工作等方面受到表彰奖励</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方正公文仿宋" w:eastAsia="仿宋_GB2312" w:cs="方正公文仿宋"/>
                <w:color w:val="auto"/>
                <w:sz w:val="22"/>
                <w:szCs w:val="22"/>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分档打分：四档</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国家级加3分，省级加2分，地市级加1分，县级加0.5分。</w:t>
            </w:r>
          </w:p>
        </w:tc>
        <w:tc>
          <w:tcPr>
            <w:tcW w:w="0" w:type="auto"/>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876" w:type="dxa"/>
            <w:vMerge w:val="continue"/>
            <w:noWrap w:val="0"/>
            <w:vAlign w:val="center"/>
          </w:tcPr>
          <w:p>
            <w:pPr>
              <w:kinsoku/>
              <w:jc w:val="center"/>
              <w:textAlignment w:val="center"/>
              <w:rPr>
                <w:rFonts w:hint="eastAsia" w:ascii="仿宋_GB2312" w:hAnsi="仿宋" w:eastAsia="仿宋_GB2312" w:cs="仿宋"/>
                <w:color w:val="auto"/>
                <w:sz w:val="20"/>
                <w:szCs w:val="20"/>
                <w:lang w:bidi="ar"/>
              </w:rPr>
            </w:pPr>
          </w:p>
        </w:tc>
        <w:tc>
          <w:tcPr>
            <w:tcW w:w="1119"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参加评审和检查工作（3分）</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配合卫健、医保行政主管部门组织的评审、政策制定、研讨会、飞检等工作的按人次予以加分</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方正公文仿宋" w:eastAsia="仿宋_GB2312" w:cs="方正公文仿宋"/>
                <w:color w:val="auto"/>
                <w:sz w:val="22"/>
                <w:szCs w:val="22"/>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数值</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国家级加2分，省级加1.5分、市级加1分，最高得3分。</w:t>
            </w:r>
          </w:p>
        </w:tc>
        <w:tc>
          <w:tcPr>
            <w:tcW w:w="0" w:type="auto"/>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76" w:type="dxa"/>
            <w:vMerge w:val="restart"/>
            <w:noWrap w:val="0"/>
            <w:tcMar>
              <w:left w:w="57" w:type="dxa"/>
              <w:right w:w="57" w:type="dxa"/>
            </w:tcMar>
            <w:vAlign w:val="center"/>
          </w:tcPr>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w:t>
            </w:r>
          </w:p>
          <w:p>
            <w:pPr>
              <w:kinsoku/>
              <w:adjustRightInd/>
              <w:snapToGrid/>
              <w:contextualSpacing/>
              <w:jc w:val="center"/>
              <w:textAlignment w:val="center"/>
              <w:rPr>
                <w:rFonts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法</w:t>
            </w:r>
          </w:p>
          <w:p>
            <w:pPr>
              <w:kinsoku/>
              <w:adjustRightInd/>
              <w:snapToGrid/>
              <w:contextualSpacing/>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w:t>
            </w:r>
          </w:p>
          <w:p>
            <w:pPr>
              <w:kinsoku/>
              <w:adjustRightInd/>
              <w:snapToGrid/>
              <w:contextualSpacing/>
              <w:jc w:val="center"/>
              <w:textAlignment w:val="center"/>
              <w:rPr>
                <w:rFonts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规</w:t>
            </w: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w:t>
            </w:r>
          </w:p>
          <w:p>
            <w:pPr>
              <w:kinsoku/>
              <w:adjustRightInd/>
              <w:snapToGrid/>
              <w:contextualSpacing/>
              <w:jc w:val="center"/>
              <w:textAlignment w:val="center"/>
              <w:rPr>
                <w:rFonts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法</w:t>
            </w:r>
          </w:p>
          <w:p>
            <w:pPr>
              <w:kinsoku/>
              <w:adjustRightInd/>
              <w:snapToGrid/>
              <w:contextualSpacing/>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w:t>
            </w:r>
          </w:p>
          <w:p>
            <w:pPr>
              <w:kinsoku/>
              <w:adjustRightInd/>
              <w:snapToGrid/>
              <w:contextualSpacing/>
              <w:jc w:val="center"/>
              <w:textAlignment w:val="center"/>
              <w:rPr>
                <w:rFonts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规</w:t>
            </w: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w:t>
            </w:r>
          </w:p>
          <w:p>
            <w:pPr>
              <w:kinsoku/>
              <w:adjustRightInd/>
              <w:snapToGrid/>
              <w:contextualSpacing/>
              <w:jc w:val="center"/>
              <w:textAlignment w:val="center"/>
              <w:rPr>
                <w:rFonts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法</w:t>
            </w:r>
          </w:p>
          <w:p>
            <w:pPr>
              <w:kinsoku/>
              <w:adjustRightInd/>
              <w:snapToGrid/>
              <w:contextualSpacing/>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w:t>
            </w:r>
          </w:p>
          <w:p>
            <w:pPr>
              <w:kinsoku/>
              <w:adjustRightInd/>
              <w:snapToGrid/>
              <w:contextualSpacing/>
              <w:jc w:val="center"/>
              <w:textAlignment w:val="center"/>
              <w:rPr>
                <w:rFonts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规</w:t>
            </w: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r>
              <w:rPr>
                <w:rFonts w:ascii="仿宋_GB2312" w:hAnsi="仿宋" w:eastAsia="仿宋_GB2312" w:cs="仿宋"/>
                <w:color w:val="auto"/>
                <w:sz w:val="20"/>
                <w:szCs w:val="20"/>
                <w:lang w:bidi="ar"/>
              </w:rPr>
              <w:cr/>
            </w:r>
          </w:p>
          <w:p>
            <w:pPr>
              <w:kinsoku/>
              <w:adjustRightInd/>
              <w:snapToGrid/>
              <w:contextualSpacing/>
              <w:jc w:val="center"/>
              <w:textAlignment w:val="center"/>
              <w:rPr>
                <w:rFonts w:ascii="仿宋_GB2312" w:hAnsi="仿宋" w:eastAsia="仿宋_GB2312" w:cs="仿宋"/>
                <w:color w:val="auto"/>
                <w:sz w:val="20"/>
                <w:szCs w:val="20"/>
                <w:lang w:bidi="ar"/>
              </w:rPr>
            </w:pPr>
          </w:p>
          <w:p>
            <w:pPr>
              <w:kinsoku/>
              <w:adjustRightInd/>
              <w:snapToGrid/>
              <w:contextualSpacing/>
              <w:jc w:val="center"/>
              <w:textAlignment w:val="center"/>
              <w:rPr>
                <w:rFonts w:ascii="仿宋_GB2312" w:hAnsi="仿宋" w:eastAsia="仿宋_GB2312" w:cs="仿宋"/>
                <w:color w:val="auto"/>
                <w:sz w:val="20"/>
                <w:szCs w:val="20"/>
                <w:lang w:bidi="ar"/>
              </w:rPr>
            </w:pPr>
            <w:r>
              <w:rPr>
                <w:rFonts w:ascii="仿宋_GB2312" w:hAnsi="仿宋" w:eastAsia="仿宋_GB2312" w:cs="仿宋"/>
                <w:color w:val="auto"/>
                <w:sz w:val="20"/>
                <w:szCs w:val="20"/>
                <w:lang w:bidi="ar"/>
              </w:rPr>
              <w:cr/>
            </w:r>
          </w:p>
          <w:p>
            <w:pPr>
              <w:kinsoku/>
              <w:adjustRightInd/>
              <w:snapToGrid/>
              <w:contextualSpacing/>
              <w:jc w:val="center"/>
              <w:textAlignment w:val="center"/>
              <w:rPr>
                <w:rFonts w:hint="eastAsia" w:ascii="仿宋_GB2312" w:hAnsi="仿宋" w:eastAsia="仿宋_GB2312" w:cs="仿宋"/>
                <w:color w:val="auto"/>
                <w:sz w:val="20"/>
                <w:szCs w:val="20"/>
                <w:lang w:bidi="ar"/>
              </w:rPr>
            </w:pPr>
            <w:r>
              <w:rPr>
                <w:rFonts w:ascii="仿宋_GB2312" w:hAnsi="仿宋" w:eastAsia="仿宋_GB2312" w:cs="仿宋"/>
                <w:color w:val="auto"/>
                <w:sz w:val="20"/>
                <w:szCs w:val="20"/>
                <w:lang w:bidi="ar"/>
              </w:rPr>
              <w:cr/>
            </w:r>
          </w:p>
          <w:p>
            <w:pPr>
              <w:kinsoku/>
              <w:adjustRightInd/>
              <w:snapToGrid/>
              <w:contextualSpacing/>
              <w:jc w:val="center"/>
              <w:textAlignment w:val="center"/>
              <w:rPr>
                <w:rFonts w:hint="eastAsia" w:ascii="仿宋_GB2312" w:eastAsia="仿宋_GB2312"/>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jc w:val="center"/>
              <w:rPr>
                <w:rFonts w:hint="eastAsia" w:eastAsia="宋体"/>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w:t>
            </w:r>
          </w:p>
          <w:p>
            <w:pPr>
              <w:kinsoku/>
              <w:adjustRightInd/>
              <w:snapToGrid/>
              <w:contextualSpacing/>
              <w:jc w:val="center"/>
              <w:textAlignment w:val="center"/>
              <w:rPr>
                <w:rFonts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法</w:t>
            </w:r>
          </w:p>
          <w:p>
            <w:pPr>
              <w:kinsoku/>
              <w:adjustRightInd/>
              <w:snapToGrid/>
              <w:contextualSpacing/>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w:t>
            </w:r>
          </w:p>
          <w:p>
            <w:pPr>
              <w:kinsoku/>
              <w:adjustRightInd/>
              <w:snapToGrid/>
              <w:contextualSpacing/>
              <w:jc w:val="center"/>
              <w:textAlignment w:val="center"/>
              <w:rPr>
                <w:rFonts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规</w:t>
            </w:r>
          </w:p>
          <w:p>
            <w:pPr>
              <w:kinsoku/>
              <w:adjustRightInd/>
              <w:snapToGrid/>
              <w:contextualSpacing/>
              <w:jc w:val="center"/>
              <w:textAlignment w:val="center"/>
              <w:rPr>
                <w:rFonts w:ascii="仿宋_GB2312" w:hAnsi="仿宋" w:eastAsia="仿宋_GB2312" w:cs="仿宋"/>
                <w:color w:val="auto"/>
                <w:sz w:val="20"/>
                <w:szCs w:val="20"/>
                <w:lang w:bidi="ar"/>
              </w:rPr>
            </w:pPr>
          </w:p>
          <w:p>
            <w:pPr>
              <w:pStyle w:val="2"/>
              <w:jc w:val="center"/>
              <w:rPr>
                <w:rFonts w:hint="eastAsia" w:eastAsia="宋体"/>
                <w:lang w:bidi="ar"/>
              </w:rPr>
            </w:pPr>
          </w:p>
        </w:tc>
        <w:tc>
          <w:tcPr>
            <w:tcW w:w="1119" w:type="dxa"/>
            <w:vMerge w:val="restart"/>
            <w:noWrap w:val="0"/>
            <w:vAlign w:val="center"/>
          </w:tcPr>
          <w:p>
            <w:pPr>
              <w:kinsoku/>
              <w:adjustRightInd/>
              <w:snapToGrid/>
              <w:contextualSpacing/>
              <w:jc w:val="center"/>
              <w:textAlignment w:val="center"/>
              <w:rPr>
                <w:rFonts w:hint="eastAsia" w:ascii="仿宋_GB2312" w:hAnsi="仿宋" w:eastAsia="仿宋_GB2312" w:cs="仿宋"/>
                <w:color w:val="auto"/>
                <w:sz w:val="20"/>
                <w:szCs w:val="20"/>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p>
          <w:p>
            <w:pPr>
              <w:pStyle w:val="2"/>
              <w:adjustRightInd/>
              <w:snapToGrid/>
              <w:contextualSpacing/>
              <w:jc w:val="center"/>
              <w:rPr>
                <w:rFonts w:hint="eastAsia" w:ascii="仿宋_GB2312" w:eastAsia="仿宋_GB2312"/>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违反《医疗保障基金使用监督管理条例 》 第三十八条</w:t>
            </w:r>
          </w:p>
          <w:p>
            <w:pPr>
              <w:pStyle w:val="2"/>
              <w:adjustRightInd/>
              <w:snapToGrid/>
              <w:contextualSpacing/>
              <w:jc w:val="center"/>
              <w:rPr>
                <w:rFonts w:hint="eastAsia" w:ascii="仿宋_GB2312" w:eastAsia="仿宋_GB2312"/>
                <w:lang w:bidi="ar"/>
              </w:rPr>
            </w:pPr>
          </w:p>
          <w:p>
            <w:pPr>
              <w:adjustRightInd/>
              <w:snapToGrid/>
              <w:contextualSpacing/>
              <w:jc w:val="center"/>
              <w:rPr>
                <w:rFonts w:hint="eastAsia" w:ascii="仿宋_GB2312" w:eastAsia="仿宋_GB2312"/>
                <w:lang w:bidi="ar"/>
              </w:rPr>
            </w:pPr>
          </w:p>
          <w:p>
            <w:pPr>
              <w:pStyle w:val="2"/>
              <w:adjustRightInd/>
              <w:snapToGrid/>
              <w:contextualSpacing/>
              <w:jc w:val="center"/>
              <w:rPr>
                <w:rFonts w:hint="eastAsia" w:ascii="仿宋_GB2312" w:eastAsia="仿宋_GB2312"/>
                <w:lang w:bidi="ar"/>
              </w:rPr>
            </w:pPr>
          </w:p>
          <w:p>
            <w:pPr>
              <w:adjustRightInd/>
              <w:snapToGrid/>
              <w:contextualSpacing/>
              <w:jc w:val="center"/>
              <w:rPr>
                <w:rFonts w:hint="eastAsia" w:ascii="仿宋_GB2312" w:eastAsia="仿宋_GB2312"/>
                <w:lang w:bidi="ar"/>
              </w:rPr>
            </w:pPr>
          </w:p>
          <w:p>
            <w:pPr>
              <w:pStyle w:val="2"/>
              <w:adjustRightInd/>
              <w:snapToGrid/>
              <w:contextualSpacing/>
              <w:jc w:val="center"/>
              <w:rPr>
                <w:rFonts w:hint="eastAsia" w:ascii="仿宋_GB2312" w:eastAsia="仿宋_GB2312"/>
                <w:lang w:bidi="ar"/>
              </w:rPr>
            </w:pPr>
          </w:p>
          <w:p>
            <w:pPr>
              <w:adjustRightInd/>
              <w:snapToGrid/>
              <w:contextualSpacing/>
              <w:jc w:val="center"/>
              <w:rPr>
                <w:rFonts w:hint="eastAsia" w:ascii="仿宋_GB2312" w:eastAsia="仿宋_GB2312"/>
                <w:lang w:bidi="ar"/>
              </w:rPr>
            </w:pPr>
          </w:p>
          <w:p>
            <w:pPr>
              <w:pStyle w:val="2"/>
              <w:adjustRightInd/>
              <w:snapToGrid/>
              <w:contextualSpacing/>
              <w:jc w:val="center"/>
              <w:rPr>
                <w:rFonts w:hint="eastAsia" w:ascii="仿宋_GB2312" w:eastAsia="仿宋_GB2312"/>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p>
          <w:p>
            <w:pPr>
              <w:pStyle w:val="2"/>
              <w:adjustRightInd/>
              <w:snapToGrid/>
              <w:contextualSpacing/>
              <w:jc w:val="center"/>
              <w:rPr>
                <w:rFonts w:hint="eastAsia" w:eastAsia="宋体"/>
                <w:lang w:bidi="ar"/>
              </w:rPr>
            </w:pPr>
          </w:p>
          <w:p>
            <w:pPr>
              <w:adjustRightInd/>
              <w:snapToGrid/>
              <w:contextualSpacing/>
              <w:jc w:val="center"/>
              <w:rPr>
                <w:rFonts w:hint="eastAsia" w:eastAsia="宋体"/>
                <w:lang w:bidi="ar"/>
              </w:rPr>
            </w:pPr>
          </w:p>
          <w:p>
            <w:pPr>
              <w:pStyle w:val="2"/>
              <w:adjustRightInd/>
              <w:snapToGrid/>
              <w:contextualSpacing/>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adjustRightInd/>
              <w:snapToGrid/>
              <w:contextualSpacing/>
              <w:jc w:val="center"/>
              <w:rPr>
                <w:rFonts w:hint="eastAsia" w:eastAsia="宋体"/>
                <w:lang w:bidi="ar"/>
              </w:rPr>
            </w:pPr>
          </w:p>
          <w:p>
            <w:pPr>
              <w:pStyle w:val="2"/>
              <w:adjustRightInd/>
              <w:snapToGrid/>
              <w:contextualSpacing/>
              <w:jc w:val="center"/>
              <w:rPr>
                <w:rFonts w:hint="eastAsia" w:eastAsia="宋体"/>
                <w:lang w:bidi="ar"/>
              </w:rPr>
            </w:pPr>
          </w:p>
          <w:p>
            <w:pPr>
              <w:adjustRightInd/>
              <w:snapToGrid/>
              <w:contextualSpacing/>
              <w:jc w:val="center"/>
              <w:rPr>
                <w:rFonts w:hint="eastAsia" w:eastAsia="宋体"/>
                <w:lang w:bidi="ar"/>
              </w:rPr>
            </w:pPr>
          </w:p>
          <w:p>
            <w:pPr>
              <w:pStyle w:val="2"/>
              <w:adjustRightInd/>
              <w:snapToGrid/>
              <w:contextualSpacing/>
              <w:jc w:val="center"/>
              <w:rPr>
                <w:rFonts w:hint="eastAsia" w:eastAsia="宋体"/>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违反《医疗保障基金使用监督管理条例 》 第三十八条</w:t>
            </w:r>
          </w:p>
          <w:p>
            <w:pPr>
              <w:pStyle w:val="2"/>
              <w:adjustRightInd/>
              <w:snapToGrid/>
              <w:contextualSpacing/>
              <w:jc w:val="center"/>
              <w:rPr>
                <w:rFonts w:hint="eastAsia" w:ascii="仿宋_GB2312" w:eastAsia="仿宋_GB2312"/>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adjustRightInd/>
              <w:snapToGrid/>
              <w:contextualSpacing/>
              <w:jc w:val="center"/>
              <w:rPr>
                <w:rFonts w:hint="eastAsia" w:ascii="仿宋_GB2312" w:eastAsia="仿宋_GB2312"/>
                <w:lang w:bidi="ar"/>
              </w:rPr>
            </w:pPr>
          </w:p>
          <w:p>
            <w:pPr>
              <w:adjustRightInd/>
              <w:snapToGrid/>
              <w:contextualSpacing/>
              <w:jc w:val="center"/>
              <w:rPr>
                <w:rFonts w:hint="eastAsia" w:ascii="仿宋_GB2312" w:eastAsia="仿宋_GB2312"/>
                <w:lang w:bidi="ar"/>
              </w:rPr>
            </w:pPr>
          </w:p>
          <w:p>
            <w:pPr>
              <w:adjustRightInd/>
              <w:snapToGrid/>
              <w:contextualSpacing/>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jc w:val="center"/>
              <w:rPr>
                <w:rFonts w:hint="eastAsia" w:eastAsia="宋体"/>
                <w:lang w:bidi="ar"/>
              </w:rPr>
            </w:pPr>
          </w:p>
          <w:p>
            <w:pPr>
              <w:jc w:val="center"/>
              <w:rPr>
                <w:rFonts w:hint="eastAsia" w:eastAsia="宋体"/>
                <w:lang w:bidi="ar"/>
              </w:rPr>
            </w:pPr>
          </w:p>
          <w:p>
            <w:pPr>
              <w:pStyle w:val="2"/>
              <w:adjustRightInd/>
              <w:snapToGrid/>
              <w:contextualSpacing/>
              <w:jc w:val="center"/>
              <w:rPr>
                <w:rFonts w:hint="eastAsia" w:eastAsia="宋体"/>
                <w:lang w:bidi="ar"/>
              </w:rPr>
            </w:pPr>
          </w:p>
          <w:p>
            <w:pPr>
              <w:kinsoku/>
              <w:adjustRightInd/>
              <w:snapToGrid/>
              <w:contextualSpacing/>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违反《医疗保障基金使用监督管理条例 》 第三十八条</w:t>
            </w:r>
          </w:p>
          <w:p>
            <w:pPr>
              <w:pStyle w:val="2"/>
              <w:adjustRightInd/>
              <w:snapToGrid/>
              <w:contextualSpacing/>
              <w:jc w:val="center"/>
              <w:rPr>
                <w:rFonts w:hint="eastAsia" w:ascii="仿宋_GB2312" w:eastAsia="仿宋_GB2312"/>
                <w:lang w:bidi="ar"/>
              </w:rPr>
            </w:pPr>
          </w:p>
          <w:p>
            <w:pPr>
              <w:jc w:val="center"/>
              <w:rPr>
                <w:rFonts w:hint="eastAsia" w:eastAsia="宋体"/>
                <w:lang w:bidi="ar"/>
              </w:rPr>
            </w:pPr>
          </w:p>
          <w:p>
            <w:pPr>
              <w:pStyle w:val="2"/>
              <w:adjustRightInd/>
              <w:snapToGrid/>
              <w:contextualSpacing/>
              <w:jc w:val="center"/>
              <w:rPr>
                <w:rFonts w:hint="eastAsia" w:ascii="仿宋_GB2312" w:eastAsia="仿宋_GB2312"/>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住院指征问题</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分解住院、挂床住院</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-1</w:t>
            </w:r>
          </w:p>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restart"/>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876" w:type="dxa"/>
            <w:vMerge w:val="continue"/>
            <w:noWrap w:val="0"/>
            <w:textDirection w:val="tbRlV"/>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过度医疗</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违反诊疗规范过度诊疗、过度检查、分解处方、超量开药、重复开药或者提供其他不必要的医药服务</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-0.5</w:t>
            </w: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876" w:type="dxa"/>
            <w:vMerge w:val="continue"/>
            <w:noWrap w:val="0"/>
            <w:textDirection w:val="tbRlV"/>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违反医疗服务价格政策</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重复收费、超标准收费、分解项目收费</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-0.5</w:t>
            </w: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876" w:type="dxa"/>
            <w:vMerge w:val="continue"/>
            <w:noWrap w:val="0"/>
            <w:textDirection w:val="tbRlV"/>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串换项目</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串换药品、医用耗材、诊疗项目和服务设施</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-1</w:t>
            </w: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876" w:type="dxa"/>
            <w:vMerge w:val="continue"/>
            <w:noWrap w:val="0"/>
            <w:textDirection w:val="tbRlV"/>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协助转卖药品不当得利</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为参保人员利用其享受医疗保障待遇的机会转卖药品，接受返还现金、实物或者获得其他非法利益提供便利</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-1</w:t>
            </w: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876" w:type="dxa"/>
            <w:vMerge w:val="continue"/>
            <w:noWrap w:val="0"/>
            <w:textDirection w:val="tbRlV"/>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违规结算问题</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将不属于医疗保障基金支付范围的医药费用纳入医疗保障基金结算</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-1</w:t>
            </w: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jc w:val="center"/>
        </w:trPr>
        <w:tc>
          <w:tcPr>
            <w:tcW w:w="876" w:type="dxa"/>
            <w:vMerge w:val="continue"/>
            <w:noWrap w:val="0"/>
            <w:textDirection w:val="tbRlV"/>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其它违规问题</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造成医疗保障基金损失的其他违法行为。含在DIP经办管理或在其他专项检查中发现存在高套分值、编码低套、降低入院标准、分解住院、诊断升级、主诊断不合理、诊断与操作不符等违约行为</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-0.5</w:t>
            </w: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876" w:type="dxa"/>
            <w:vMerge w:val="continue"/>
            <w:noWrap w:val="0"/>
            <w:textDirection w:val="tbRlV"/>
            <w:vAlign w:val="center"/>
          </w:tcPr>
          <w:p>
            <w:pPr>
              <w:kinsoku/>
              <w:jc w:val="center"/>
              <w:textAlignment w:val="center"/>
              <w:rPr>
                <w:rFonts w:hint="eastAsia" w:ascii="仿宋_GB2312" w:hAnsi="仿宋" w:eastAsia="仿宋_GB2312" w:cs="仿宋"/>
                <w:color w:val="auto"/>
                <w:sz w:val="20"/>
                <w:szCs w:val="20"/>
                <w:lang w:bidi="ar"/>
              </w:rPr>
            </w:pPr>
          </w:p>
        </w:tc>
        <w:tc>
          <w:tcPr>
            <w:tcW w:w="1119"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管理制度组织问题</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未建立医疗保障基金使用内部管理制度，或者没有专门机构或者人员负责医疗保障基金使用管理工作</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-1</w:t>
            </w: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restart"/>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876" w:type="dxa"/>
            <w:vMerge w:val="continue"/>
            <w:noWrap w:val="0"/>
            <w:textDirection w:val="tbRlV"/>
            <w:vAlign w:val="center"/>
          </w:tcPr>
          <w:p>
            <w:pPr>
              <w:kinsoku/>
              <w:jc w:val="center"/>
              <w:textAlignment w:val="center"/>
              <w:rPr>
                <w:rFonts w:hint="eastAsia" w:ascii="仿宋_GB2312" w:hAnsi="仿宋" w:eastAsia="仿宋_GB2312" w:cs="仿宋"/>
                <w:color w:val="auto"/>
                <w:sz w:val="20"/>
                <w:szCs w:val="20"/>
                <w:lang w:bidi="ar"/>
              </w:rPr>
            </w:pPr>
          </w:p>
        </w:tc>
        <w:tc>
          <w:tcPr>
            <w:tcW w:w="1119"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资料管理问题</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未按照规定保管财务账目、会计凭证、处方、病历、治疗检查记录、费用明细、药品和医用耗材出入库记录等资料</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-0.5</w:t>
            </w: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876" w:type="dxa"/>
            <w:vMerge w:val="continue"/>
            <w:noWrap w:val="0"/>
            <w:textDirection w:val="tbRlV"/>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数据上传问题</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未按照规定通过医疗保障信息系统传送医疗保障基金使用有关数据</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-1</w:t>
            </w: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876" w:type="dxa"/>
            <w:vMerge w:val="continue"/>
            <w:noWrap w:val="0"/>
            <w:textDirection w:val="tbRlV"/>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违反报告规定问题</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未按照规定向医疗保障行政部门报告医疗保障基金使用监督管理所需信息</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-1</w:t>
            </w: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76" w:type="dxa"/>
            <w:vMerge w:val="continue"/>
            <w:noWrap w:val="0"/>
            <w:textDirection w:val="tbRlV"/>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社会公开问题</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未按照规定向社会公开医药费用、费用结构等信息</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-1</w:t>
            </w: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76" w:type="dxa"/>
            <w:vMerge w:val="continue"/>
            <w:noWrap w:val="0"/>
            <w:textDirection w:val="tbRlV"/>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知情同意问题</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除急诊、抢救等特殊情形外，未经参保人员或者其近亲属、监护人同意提供医疗保障基金支付范围以外的医药服务</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-0.5</w:t>
            </w: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76" w:type="dxa"/>
            <w:vMerge w:val="continue"/>
            <w:noWrap w:val="0"/>
            <w:textDirection w:val="tbRlV"/>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配合检查问题</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拒绝医疗保障等行政部门监督检查或者提供虚假情况</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医保局基金监管科</w:t>
            </w:r>
          </w:p>
        </w:tc>
        <w:tc>
          <w:tcPr>
            <w:tcW w:w="867" w:type="dxa"/>
            <w:noWrap w:val="0"/>
            <w:vAlign w:val="center"/>
          </w:tcPr>
          <w:p>
            <w:pPr>
              <w:kinsoku/>
              <w:jc w:val="center"/>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-1</w:t>
            </w: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876" w:type="dxa"/>
            <w:vMerge w:val="continue"/>
            <w:noWrap w:val="0"/>
            <w:textDirection w:val="tbRlV"/>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restart"/>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违反《医疗保障基金使用监督管理条例》第四十条</w:t>
            </w:r>
          </w:p>
          <w:p>
            <w:pPr>
              <w:pStyle w:val="2"/>
              <w:rPr>
                <w:rFonts w:hint="eastAsia" w:eastAsia="宋体"/>
                <w:lang w:bidi="ar"/>
              </w:rPr>
            </w:pPr>
          </w:p>
          <w:p>
            <w:pPr>
              <w:kinsoku/>
              <w:jc w:val="both"/>
              <w:textAlignment w:val="center"/>
              <w:rPr>
                <w:rFonts w:hint="eastAsia" w:ascii="仿宋_GB2312" w:hAnsi="仿宋" w:eastAsia="仿宋_GB2312" w:cs="仿宋"/>
                <w:color w:val="auto"/>
                <w:sz w:val="20"/>
                <w:szCs w:val="20"/>
                <w:lang w:bidi="ar"/>
              </w:rPr>
            </w:pPr>
          </w:p>
          <w:p>
            <w:pPr>
              <w:kinsoku/>
              <w:jc w:val="both"/>
              <w:textAlignment w:val="center"/>
              <w:rPr>
                <w:rFonts w:hint="eastAsia" w:ascii="仿宋_GB2312" w:hAnsi="仿宋" w:eastAsia="仿宋_GB2312" w:cs="仿宋"/>
                <w:color w:val="auto"/>
                <w:sz w:val="20"/>
                <w:szCs w:val="20"/>
                <w:lang w:bidi="ar"/>
              </w:rPr>
            </w:pPr>
          </w:p>
          <w:p>
            <w:pPr>
              <w:kinsoku/>
              <w:jc w:val="both"/>
              <w:textAlignment w:val="center"/>
              <w:rPr>
                <w:rFonts w:hint="eastAsia" w:ascii="仿宋_GB2312" w:hAnsi="仿宋" w:eastAsia="仿宋_GB2312" w:cs="仿宋"/>
                <w:color w:val="auto"/>
                <w:sz w:val="20"/>
                <w:szCs w:val="20"/>
                <w:lang w:bidi="ar"/>
              </w:rPr>
            </w:pPr>
          </w:p>
          <w:p>
            <w:pPr>
              <w:kinsoku/>
              <w:jc w:val="both"/>
              <w:textAlignment w:val="center"/>
              <w:rPr>
                <w:rFonts w:hint="eastAsia" w:ascii="仿宋_GB2312" w:hAnsi="仿宋" w:eastAsia="仿宋_GB2312" w:cs="仿宋"/>
                <w:color w:val="auto"/>
                <w:sz w:val="20"/>
                <w:szCs w:val="20"/>
                <w:lang w:bidi="ar"/>
              </w:rPr>
            </w:pPr>
          </w:p>
          <w:p>
            <w:pPr>
              <w:kinsoku/>
              <w:jc w:val="both"/>
              <w:textAlignment w:val="center"/>
              <w:rPr>
                <w:rFonts w:hint="eastAsia" w:ascii="仿宋_GB2312" w:hAnsi="仿宋" w:eastAsia="仿宋_GB2312" w:cs="仿宋"/>
                <w:color w:val="auto"/>
                <w:sz w:val="20"/>
                <w:szCs w:val="20"/>
                <w:lang w:bidi="ar"/>
              </w:rPr>
            </w:pPr>
          </w:p>
          <w:p>
            <w:pPr>
              <w:kinsoku/>
              <w:jc w:val="both"/>
              <w:textAlignment w:val="center"/>
              <w:rPr>
                <w:rFonts w:hint="eastAsia" w:ascii="仿宋_GB2312" w:hAnsi="仿宋" w:eastAsia="仿宋_GB2312" w:cs="仿宋"/>
                <w:color w:val="auto"/>
                <w:sz w:val="20"/>
                <w:szCs w:val="20"/>
                <w:lang w:bidi="ar"/>
              </w:rPr>
            </w:pPr>
          </w:p>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违反《医疗保障基金使用监督管理条例》第四十条</w:t>
            </w:r>
          </w:p>
          <w:p>
            <w:pPr>
              <w:rPr>
                <w:rFonts w:hint="eastAsia" w:eastAsia="宋体"/>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协助骗保问题</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诱导、协助他人冒名或者虚假就医、购药，提供虚假证明材料，或者串通他人虚开费用单据</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医保局基金监管科</w:t>
            </w:r>
          </w:p>
        </w:tc>
        <w:tc>
          <w:tcPr>
            <w:tcW w:w="867" w:type="dxa"/>
            <w:vMerge w:val="restart"/>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-60分/次</w:t>
            </w: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p>
            <w:pPr>
              <w:pStyle w:val="2"/>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tc>
        <w:tc>
          <w:tcPr>
            <w:tcW w:w="4518" w:type="dxa"/>
            <w:vMerge w:val="restart"/>
            <w:noWrap w:val="0"/>
            <w:vAlign w:val="center"/>
          </w:tcPr>
          <w:p>
            <w:pPr>
              <w:kinsoku/>
              <w:jc w:val="both"/>
              <w:textAlignment w:val="center"/>
              <w:rPr>
                <w:rFonts w:hint="eastAsia" w:ascii="仿宋_GB2312" w:hAnsi="仿宋" w:eastAsia="仿宋_GB2312" w:cs="仿宋"/>
                <w:color w:val="auto"/>
                <w:sz w:val="20"/>
                <w:szCs w:val="20"/>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tc>
        <w:tc>
          <w:tcPr>
            <w:tcW w:w="0" w:type="auto"/>
            <w:vMerge w:val="restart"/>
            <w:noWrap w:val="0"/>
            <w:vAlign w:val="center"/>
          </w:tcPr>
          <w:p>
            <w:pPr>
              <w:kinsoku/>
              <w:jc w:val="both"/>
              <w:textAlignment w:val="center"/>
              <w:rPr>
                <w:rFonts w:hint="eastAsia" w:ascii="仿宋_GB2312" w:hAnsi="仿宋" w:eastAsia="仿宋_GB2312" w:cs="仿宋"/>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876" w:type="dxa"/>
            <w:vMerge w:val="continue"/>
            <w:noWrap w:val="0"/>
            <w:textDirection w:val="tbRlV"/>
            <w:vAlign w:val="center"/>
          </w:tcPr>
          <w:p>
            <w:pPr>
              <w:kinsoku/>
              <w:jc w:val="center"/>
              <w:textAlignment w:val="center"/>
              <w:rPr>
                <w:rFonts w:hint="eastAsia" w:ascii="仿宋_GB2312" w:hAnsi="微软雅黑" w:eastAsia="仿宋_GB2312" w:cs="微软雅黑"/>
                <w:color w:val="auto"/>
                <w:sz w:val="20"/>
                <w:szCs w:val="20"/>
                <w:lang w:bidi="ar"/>
              </w:rPr>
            </w:pPr>
          </w:p>
        </w:tc>
        <w:tc>
          <w:tcPr>
            <w:tcW w:w="1119"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恶意骗保问题</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伪造、变造、隐匿、涂改、销毁医学文书、医学证明、会计凭证、电子信息等有关资料；</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虚构医药服务项目</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医保局基金监管科</w:t>
            </w:r>
          </w:p>
        </w:tc>
        <w:tc>
          <w:tcPr>
            <w:tcW w:w="867" w:type="dxa"/>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c>
          <w:tcPr>
            <w:tcW w:w="957" w:type="dxa"/>
            <w:noWrap w:val="0"/>
            <w:vAlign w:val="center"/>
          </w:tcPr>
          <w:p>
            <w:pPr>
              <w:kinsoku/>
              <w:jc w:val="both"/>
              <w:textAlignment w:val="center"/>
              <w:rPr>
                <w:rFonts w:hint="eastAsia" w:ascii="仿宋_GB2312" w:hAnsi="微软雅黑" w:eastAsia="仿宋_GB2312" w:cs="微软雅黑"/>
                <w:color w:val="auto"/>
                <w:sz w:val="20"/>
                <w:szCs w:val="20"/>
                <w:lang w:bidi="ar"/>
              </w:rPr>
            </w:pPr>
          </w:p>
        </w:tc>
        <w:tc>
          <w:tcPr>
            <w:tcW w:w="4518" w:type="dxa"/>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c>
          <w:tcPr>
            <w:tcW w:w="0" w:type="auto"/>
            <w:vMerge w:val="continue"/>
            <w:noWrap w:val="0"/>
            <w:vAlign w:val="center"/>
          </w:tcPr>
          <w:p>
            <w:pPr>
              <w:kinsoku/>
              <w:jc w:val="both"/>
              <w:textAlignment w:val="center"/>
              <w:rPr>
                <w:rFonts w:hint="eastAsia" w:ascii="仿宋_GB2312" w:hAnsi="微软雅黑" w:eastAsia="仿宋_GB2312" w:cs="微软雅黑"/>
                <w:color w:val="auto"/>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876" w:type="dxa"/>
            <w:vMerge w:val="continue"/>
            <w:noWrap w:val="0"/>
            <w:textDirection w:val="tbRlV"/>
            <w:vAlign w:val="center"/>
          </w:tcPr>
          <w:p>
            <w:pPr>
              <w:kinsoku/>
              <w:jc w:val="center"/>
              <w:textAlignment w:val="center"/>
              <w:rPr>
                <w:rFonts w:hint="eastAsia" w:ascii="仿宋_GB2312" w:hAnsi="仿宋" w:eastAsia="仿宋_GB2312" w:cs="仿宋"/>
                <w:color w:val="auto"/>
                <w:sz w:val="20"/>
                <w:szCs w:val="20"/>
                <w:lang w:bidi="ar"/>
              </w:rPr>
            </w:pPr>
          </w:p>
        </w:tc>
        <w:tc>
          <w:tcPr>
            <w:tcW w:w="1119"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1100"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其他骗保问题</w:t>
            </w:r>
          </w:p>
        </w:tc>
        <w:tc>
          <w:tcPr>
            <w:tcW w:w="2286"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1、定点医药机构以骗取医疗保障基金为目的，实施了医疗保障基金使用监督管理条例第</w:t>
            </w:r>
            <w:r>
              <w:rPr>
                <w:rFonts w:hint="eastAsia" w:ascii="仿宋_GB2312" w:hAnsi="仿宋" w:eastAsia="仿宋_GB2312" w:cs="仿宋"/>
                <w:color w:val="auto"/>
                <w:sz w:val="20"/>
                <w:szCs w:val="20"/>
                <w:lang w:eastAsia="zh-CN" w:bidi="ar"/>
              </w:rPr>
              <w:t>四十条</w:t>
            </w:r>
            <w:r>
              <w:rPr>
                <w:rFonts w:hint="eastAsia" w:ascii="仿宋_GB2312" w:hAnsi="仿宋" w:eastAsia="仿宋_GB2312" w:cs="仿宋"/>
                <w:color w:val="auto"/>
                <w:sz w:val="20"/>
                <w:szCs w:val="20"/>
                <w:lang w:bidi="ar"/>
              </w:rPr>
              <w:t>行为之一，造成医疗保障基金损失的</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2、其他骗取医疗保障基金支出的行为</w:t>
            </w:r>
          </w:p>
        </w:tc>
        <w:tc>
          <w:tcPr>
            <w:tcW w:w="1662" w:type="dxa"/>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医保局基金监管科</w:t>
            </w:r>
          </w:p>
        </w:tc>
        <w:tc>
          <w:tcPr>
            <w:tcW w:w="867"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957" w:type="dxa"/>
            <w:noWrap w:val="0"/>
            <w:vAlign w:val="center"/>
          </w:tcPr>
          <w:p>
            <w:pPr>
              <w:kinsoku/>
              <w:jc w:val="both"/>
              <w:textAlignment w:val="center"/>
              <w:rPr>
                <w:rFonts w:hint="eastAsia" w:ascii="仿宋_GB2312" w:hAnsi="仿宋" w:eastAsia="仿宋_GB2312" w:cs="仿宋"/>
                <w:color w:val="auto"/>
                <w:sz w:val="20"/>
                <w:szCs w:val="20"/>
                <w:lang w:bidi="ar"/>
              </w:rPr>
            </w:pPr>
          </w:p>
        </w:tc>
        <w:tc>
          <w:tcPr>
            <w:tcW w:w="4518" w:type="dxa"/>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c>
          <w:tcPr>
            <w:tcW w:w="0" w:type="auto"/>
            <w:vMerge w:val="continue"/>
            <w:noWrap w:val="0"/>
            <w:vAlign w:val="center"/>
          </w:tcPr>
          <w:p>
            <w:pPr>
              <w:kinsoku/>
              <w:jc w:val="both"/>
              <w:textAlignment w:val="center"/>
              <w:rPr>
                <w:rFonts w:hint="eastAsia" w:ascii="仿宋_GB2312" w:hAnsi="仿宋" w:eastAsia="仿宋_GB2312" w:cs="仿宋"/>
                <w:color w:val="auto"/>
                <w:sz w:val="20"/>
                <w:szCs w:val="20"/>
                <w:lang w:bidi="ar"/>
              </w:rPr>
            </w:pPr>
          </w:p>
        </w:tc>
      </w:tr>
    </w:tbl>
    <w:p>
      <w:pPr>
        <w:kinsoku/>
        <w:spacing w:before="101" w:line="224" w:lineRule="auto"/>
        <w:ind w:left="432"/>
        <w:jc w:val="both"/>
        <w:rPr>
          <w:rFonts w:ascii="仿宋" w:hAnsi="仿宋" w:eastAsia="仿宋" w:cs="仿宋"/>
          <w:color w:val="auto"/>
          <w:spacing w:val="-17"/>
          <w:sz w:val="31"/>
          <w:szCs w:val="31"/>
        </w:rPr>
      </w:pPr>
    </w:p>
    <w:p>
      <w:pPr>
        <w:bidi w:val="0"/>
      </w:pPr>
    </w:p>
    <w:p>
      <w:bookmarkStart w:id="0" w:name="_GoBack"/>
      <w:bookmarkEnd w:id="0"/>
    </w:p>
    <w:sectPr>
      <w:footerReference r:id="rId3" w:type="default"/>
      <w:footerReference r:id="rId4" w:type="even"/>
      <w:pgSz w:w="16839" w:h="11907" w:orient="landscape"/>
      <w:pgMar w:top="1474" w:right="1701" w:bottom="1474" w:left="1701" w:header="0" w:footer="1253"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swiss"/>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82016" w:usb3="00000000" w:csb0="00040001" w:csb1="00000000"/>
  </w:font>
  <w:font w:name="方正公文仿宋">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cs="Times New Roman"/>
        <w:sz w:val="24"/>
        <w:szCs w:val="24"/>
      </w:rPr>
    </w:pPr>
  </w:p>
  <w:p>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YjQxMDE0NmY0NjkxNDJkNWMwNDdhZDAwMWYyMDYifQ=="/>
  </w:docVars>
  <w:rsids>
    <w:rsidRoot w:val="00000000"/>
    <w:rsid w:val="582C1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2023-07-26T02:11:45Z</dcterms:created>
  <dc:creator>Administrator</dc:creator>
  <cp:lastModifiedBy>哈里.奥弗斯特里特</cp:lastModifiedBy>
  <dcterms:modified xsi:type="dcterms:W3CDTF">2023-07-26T02:12:01Z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911D79CFA0254948AA6EA54C629BEB90_12</vt:lpwstr>
  </property>
</Properties>
</file>