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textAlignment w:val="auto"/>
        <w:rPr>
          <w:rFonts w:hint="eastAsia" w:ascii="仿宋_GB2312" w:hAnsi="仿宋" w:eastAsia="仿宋_GB2312" w:cs="仿宋"/>
          <w:color w:val="auto"/>
        </w:rPr>
      </w:pPr>
      <w:r>
        <w:rPr>
          <w:rFonts w:hint="eastAsia" w:ascii="仿宋_GB2312" w:hAnsi="仿宋_GB2312" w:eastAsia="仿宋_GB2312" w:cs="黑体"/>
          <w:color w:val="auto"/>
          <w:sz w:val="32"/>
          <w:szCs w:val="32"/>
        </w:rPr>
        <w:t>附件</w:t>
      </w:r>
      <w:r>
        <w:rPr>
          <w:rFonts w:hint="eastAsia" w:ascii="仿宋_GB2312" w:hAnsi="黑体" w:eastAsia="仿宋_GB2312" w:cs="黑体"/>
          <w:color w:val="auto"/>
          <w:sz w:val="32"/>
          <w:szCs w:val="32"/>
        </w:rPr>
        <w:t>5：</w:t>
      </w:r>
    </w:p>
    <w:p>
      <w:pPr>
        <w:pStyle w:val="2"/>
        <w:spacing w:after="120" w:afterLines="50" w:line="600" w:lineRule="exact"/>
        <w:jc w:val="center"/>
        <w:rPr>
          <w:rFonts w:ascii="方正小标宋简体" w:hAnsi="黑体" w:eastAsia="方正小标宋简体" w:cs="黑体"/>
          <w:color w:val="auto"/>
          <w:sz w:val="44"/>
          <w:szCs w:val="44"/>
        </w:rPr>
      </w:pPr>
      <w:r>
        <w:rPr>
          <w:rFonts w:hint="eastAsia" w:ascii="方正小标宋简体" w:hAnsi="方正小标宋简体" w:eastAsia="方正小标宋简体" w:cs="黑体"/>
          <w:color w:val="auto"/>
          <w:sz w:val="44"/>
          <w:szCs w:val="44"/>
        </w:rPr>
        <w:t>定点零售药店评价指标</w:t>
      </w:r>
    </w:p>
    <w:tbl>
      <w:tblPr>
        <w:tblStyle w:val="3"/>
        <w:tblW w:w="50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087"/>
        <w:gridCol w:w="1308"/>
        <w:gridCol w:w="3967"/>
        <w:gridCol w:w="1912"/>
        <w:gridCol w:w="870"/>
        <w:gridCol w:w="28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jc w:val="center"/>
        </w:trPr>
        <w:tc>
          <w:tcPr>
            <w:tcW w:w="789"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一级</w:t>
            </w:r>
          </w:p>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指标</w:t>
            </w:r>
          </w:p>
        </w:tc>
        <w:tc>
          <w:tcPr>
            <w:tcW w:w="1082"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二级指标</w:t>
            </w:r>
          </w:p>
        </w:tc>
        <w:tc>
          <w:tcPr>
            <w:tcW w:w="1303"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三级指标</w:t>
            </w:r>
          </w:p>
        </w:tc>
        <w:tc>
          <w:tcPr>
            <w:tcW w:w="3949"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指标释义</w:t>
            </w:r>
          </w:p>
        </w:tc>
        <w:tc>
          <w:tcPr>
            <w:tcW w:w="1902"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信用信息来源</w:t>
            </w:r>
          </w:p>
        </w:tc>
        <w:tc>
          <w:tcPr>
            <w:tcW w:w="866"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输入</w:t>
            </w:r>
          </w:p>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指标值</w:t>
            </w:r>
          </w:p>
        </w:tc>
        <w:tc>
          <w:tcPr>
            <w:tcW w:w="2881"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评分标准</w:t>
            </w:r>
          </w:p>
        </w:tc>
        <w:tc>
          <w:tcPr>
            <w:tcW w:w="1455" w:type="dxa"/>
            <w:noWrap w:val="0"/>
            <w:tcMar>
              <w:top w:w="0" w:type="dxa"/>
              <w:left w:w="85" w:type="dxa"/>
              <w:bottom w:w="0" w:type="dxa"/>
              <w:right w:w="85" w:type="dxa"/>
            </w:tcMar>
            <w:vAlign w:val="center"/>
          </w:tcPr>
          <w:p>
            <w:pPr>
              <w:spacing w:line="300" w:lineRule="exact"/>
              <w:jc w:val="center"/>
              <w:rPr>
                <w:rFonts w:hint="eastAsia" w:ascii="方正书宋_GBK" w:hAnsi="黑体" w:eastAsia="方正书宋_GBK"/>
                <w:b/>
                <w:color w:val="auto"/>
                <w:sz w:val="20"/>
                <w:szCs w:val="20"/>
              </w:rPr>
            </w:pPr>
            <w:r>
              <w:rPr>
                <w:rFonts w:hint="eastAsia" w:ascii="方正书宋_GBK" w:hAnsi="黑体" w:eastAsia="方正书宋_GBK"/>
                <w:b/>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90"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基础分</w:t>
            </w:r>
          </w:p>
        </w:tc>
        <w:tc>
          <w:tcPr>
            <w:tcW w:w="1082"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基础分</w:t>
            </w:r>
          </w:p>
        </w:tc>
        <w:tc>
          <w:tcPr>
            <w:tcW w:w="1303"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基础分</w:t>
            </w:r>
          </w:p>
        </w:tc>
        <w:tc>
          <w:tcPr>
            <w:tcW w:w="3949"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定点零售药店基础得分</w:t>
            </w:r>
          </w:p>
        </w:tc>
        <w:tc>
          <w:tcPr>
            <w:tcW w:w="1902"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系统自动采集</w:t>
            </w:r>
          </w:p>
        </w:tc>
        <w:tc>
          <w:tcPr>
            <w:tcW w:w="866"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默认</w:t>
            </w:r>
          </w:p>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计分</w:t>
            </w:r>
          </w:p>
        </w:tc>
        <w:tc>
          <w:tcPr>
            <w:tcW w:w="2881" w:type="dxa"/>
            <w:shd w:val="clear" w:color="auto" w:fill="FFFFFF"/>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默认60分</w:t>
            </w:r>
          </w:p>
        </w:tc>
        <w:tc>
          <w:tcPr>
            <w:tcW w:w="1455" w:type="dxa"/>
            <w:noWrap w:val="0"/>
            <w:tcMar>
              <w:top w:w="0" w:type="dxa"/>
              <w:left w:w="85" w:type="dxa"/>
              <w:bottom w:w="0" w:type="dxa"/>
              <w:right w:w="85" w:type="dxa"/>
            </w:tcMar>
            <w:vAlign w:val="center"/>
          </w:tcPr>
          <w:p>
            <w:pPr>
              <w:spacing w:line="300" w:lineRule="exact"/>
              <w:jc w:val="center"/>
              <w:rPr>
                <w:rFonts w:hint="eastAsia" w:ascii="方正书宋_GBK" w:hAnsi="宋体" w:eastAsia="方正书宋_GBK"/>
                <w:b/>
                <w:bCs/>
                <w:color w:val="auto"/>
                <w:sz w:val="20"/>
                <w:szCs w:val="20"/>
              </w:rPr>
            </w:pPr>
            <w:r>
              <w:rPr>
                <w:rFonts w:hint="eastAsia" w:ascii="方正书宋_GBK" w:hAnsi="宋体" w:eastAsia="方正书宋_GBK"/>
                <w:b/>
                <w:bCs/>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90" w:type="dxa"/>
            <w:vMerge w:val="restart"/>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日常</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监管</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（36分）</w:t>
            </w: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kinsoku/>
              <w:jc w:val="both"/>
              <w:textAlignment w:val="center"/>
              <w:rPr>
                <w:rStyle w:val="5"/>
                <w:rFonts w:hint="eastAsia" w:ascii="仿宋_GB2312" w:hAnsi="仿宋" w:eastAsia="仿宋_GB2312" w:cs="仿宋"/>
                <w:color w:val="auto"/>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kinsoku/>
              <w:jc w:val="both"/>
              <w:textAlignment w:val="center"/>
              <w:rPr>
                <w:rStyle w:val="5"/>
                <w:rFonts w:hint="eastAsia" w:ascii="仿宋_GB2312" w:hAnsi="仿宋" w:eastAsia="仿宋_GB2312" w:cs="仿宋"/>
                <w:color w:val="auto"/>
                <w:lang w:bidi="ar"/>
              </w:rPr>
            </w:pP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日常</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监管</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（36分）</w:t>
            </w:r>
          </w:p>
          <w:p>
            <w:pPr>
              <w:kinsoku/>
              <w:jc w:val="both"/>
              <w:textAlignment w:val="center"/>
              <w:rPr>
                <w:rStyle w:val="5"/>
                <w:rFonts w:hint="eastAsia" w:ascii="仿宋_GB2312" w:hAnsi="仿宋" w:eastAsia="仿宋_GB2312" w:cs="仿宋"/>
                <w:color w:val="auto"/>
                <w:lang w:bidi="ar"/>
              </w:rPr>
            </w:pPr>
          </w:p>
        </w:tc>
        <w:tc>
          <w:tcPr>
            <w:tcW w:w="1082" w:type="dxa"/>
            <w:vMerge w:val="restart"/>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基础管理</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(4分)</w:t>
            </w: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1.医保制度</w:t>
            </w:r>
          </w:p>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（2分）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建立医保管理制度、财务制度、统计信息管理制度、药品经营质量管理制度等</w:t>
            </w:r>
          </w:p>
        </w:tc>
        <w:tc>
          <w:tcPr>
            <w:tcW w:w="1902" w:type="dxa"/>
            <w:shd w:val="clear" w:color="auto" w:fill="FFFFFF"/>
            <w:noWrap w:val="0"/>
            <w:tcMar>
              <w:top w:w="0" w:type="dxa"/>
              <w:left w:w="85" w:type="dxa"/>
              <w:bottom w:w="0" w:type="dxa"/>
              <w:right w:w="85" w:type="dxa"/>
            </w:tcMar>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缺一项扣1分</w:t>
            </w:r>
          </w:p>
        </w:tc>
        <w:tc>
          <w:tcPr>
            <w:tcW w:w="1455"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扣分以基础分</w:t>
            </w:r>
            <w:r>
              <w:rPr>
                <w:rStyle w:val="5"/>
                <w:rFonts w:hint="eastAsia" w:ascii="仿宋_GB2312" w:hAnsi="仿宋" w:eastAsia="仿宋_GB2312" w:cs="仿宋"/>
                <w:color w:val="auto"/>
                <w:lang w:bidi="ar"/>
              </w:rPr>
              <w:br w:type="textWrapping"/>
            </w:r>
            <w:r>
              <w:rPr>
                <w:rStyle w:val="5"/>
                <w:rFonts w:hint="eastAsia" w:ascii="仿宋_GB2312" w:hAnsi="仿宋" w:eastAsia="仿宋_GB2312" w:cs="仿宋"/>
                <w:color w:val="auto"/>
                <w:lang w:bidi="ar"/>
              </w:rPr>
              <w:t>分值为上限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2.日常协作</w:t>
            </w:r>
          </w:p>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（2分）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工作要求及时向医保部门报送相关信息、参加会议、宣传政策；②配合医保部门日常监督管理</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未按时间要求报送信息、未参加会议、不配合日常监督管理的，出现所列情形一项扣1分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restart"/>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购药服务（20分）</w:t>
            </w: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3.身份核验 （1分）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提供药品服务时，核验参保人员的有效身份凭证，做到人证相符。特殊情况下为他人代购药品的，核验本人和被代购人身份证</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因未核验身份信息出现参保人利益或基金受损的，不计分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4.普通门诊、慢特病门诊、双通道管理药品（5分）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①按要求配备基本满足患者用药需求的医保目录内药品；②制定相关管理制度和工作程序；③购药档案资料齐全</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FFFFFF"/>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一项不符扣2分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5.药品价格  （4分）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执行国家、省市药品价格政策规定；实行明码标价，价格调整及时</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未按要求执行价格规定、未标价或标价与售价不符的，发现一例扣2分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6、处方管理（10）</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严格遵循医保目录内处方药凭处方销售，药师对处方进行审核、签字后调剂配发药品；营业时间至少1名执业药师或药师在岗</w:t>
            </w:r>
          </w:p>
        </w:tc>
        <w:tc>
          <w:tcPr>
            <w:tcW w:w="1902" w:type="dxa"/>
            <w:shd w:val="clear" w:color="auto" w:fill="FFFFFF"/>
            <w:noWrap w:val="0"/>
            <w:tcMar>
              <w:top w:w="57" w:type="dxa"/>
              <w:left w:w="85" w:type="dxa"/>
              <w:bottom w:w="57"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处方药未凭处方销售，发现1例扣3分；药师未审核签字的，每例扣2分；药师不在岗扣2分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目录管理（2分）</w:t>
            </w: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7.执行目录政策（2分）</w:t>
            </w:r>
          </w:p>
        </w:tc>
        <w:tc>
          <w:tcPr>
            <w:tcW w:w="3949" w:type="dxa"/>
            <w:shd w:val="clear" w:color="auto" w:fill="auto"/>
            <w:noWrap/>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目录匹配准确</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目录匹配错误，每例扣2分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restart"/>
            <w:shd w:val="clear" w:color="auto" w:fill="auto"/>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信息系统（10分）</w:t>
            </w: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8.基础信息管理（2分）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①按规定做好定点零售药店、医保药师、药品目录等信息编码贯标工作，动态调整，同步更新；②严格按照要求，建设、改造医保信息系统接口，实现与医保部门信息系统有效对接</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每项1分。未按要求改造接口实现有效对接的、编码贯标未同步更新，不计分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9.信息安全（3分）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①真实、准确、及时上传参保人员购药费用明细等信息，无人为篡改作假的行为；②制定信息安全管理制度并有效执行，做好数据备份；③严格执行信息保护制度，无违规泄露参保人员个人购药信息的行为</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未真实准确上传信息、泄露参保人员信息的，每例扣2分；无相关制度扣1分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10.药品进销存管理（5分）</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①建立健全药品“进、销、存”全流程记录和管理制度；②具备完善的药店管理系统（须含进销存管理），慢特病门诊业务使用独立的药品进销存管理系统。③进销存数据真实完整</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②不符的，每项扣1分；单个药品进销存差别率超3%的每例扣3分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90" w:type="dxa"/>
            <w:vMerge w:val="restart"/>
            <w:shd w:val="clear" w:color="auto" w:fill="auto"/>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基金</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绩效</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（4分）</w:t>
            </w:r>
          </w:p>
        </w:tc>
        <w:tc>
          <w:tcPr>
            <w:tcW w:w="1082"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提升医保基金使用效率（3分）</w:t>
            </w:r>
          </w:p>
        </w:tc>
        <w:tc>
          <w:tcPr>
            <w:tcW w:w="1303"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11.医保目录内品种占比（3分）</w:t>
            </w:r>
          </w:p>
        </w:tc>
        <w:tc>
          <w:tcPr>
            <w:tcW w:w="3949"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医保目录内商品品种数目/药店商品品种总数目</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6"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95%以上得3分，每低于标准1%扣1分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90"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参保人评价（1分）</w:t>
            </w:r>
          </w:p>
        </w:tc>
        <w:tc>
          <w:tcPr>
            <w:tcW w:w="1303"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12.满意度调查（1分）</w:t>
            </w:r>
          </w:p>
        </w:tc>
        <w:tc>
          <w:tcPr>
            <w:tcW w:w="3949"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普通门诊、特门、双通道购药患者满意度调查</w:t>
            </w:r>
          </w:p>
        </w:tc>
        <w:tc>
          <w:tcPr>
            <w:tcW w:w="1902"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auto"/>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指标</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得分</w:t>
            </w:r>
          </w:p>
        </w:tc>
        <w:tc>
          <w:tcPr>
            <w:tcW w:w="2881"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满意度低于90%不计分</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790" w:type="dxa"/>
            <w:vMerge w:val="restart"/>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奖惩</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情况</w:t>
            </w:r>
          </w:p>
        </w:tc>
        <w:tc>
          <w:tcPr>
            <w:tcW w:w="108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奖励情况</w:t>
            </w:r>
          </w:p>
        </w:tc>
        <w:tc>
          <w:tcPr>
            <w:tcW w:w="1303"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13.守信加分项</w:t>
            </w:r>
          </w:p>
        </w:tc>
        <w:tc>
          <w:tcPr>
            <w:tcW w:w="3949" w:type="dxa"/>
            <w:noWrap/>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信用主体的守信信息包括县级以上人民政府及其部门、法律法规授权具有管理公共事务职能的组织按规定程序认定的与诚信相关的表彰、奖励等信息；主动守信承诺信息信用主体在医保日常活动中的履约信息。法律、法规、规章等规定应当记入信用档案的其他守信信息</w:t>
            </w:r>
          </w:p>
        </w:tc>
        <w:tc>
          <w:tcPr>
            <w:tcW w:w="190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866"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获得国家级表彰、奖励的，加10分，省级加5分、市级加3分，本项加分上限10分</w:t>
            </w:r>
          </w:p>
        </w:tc>
        <w:tc>
          <w:tcPr>
            <w:tcW w:w="1455" w:type="dxa"/>
            <w:noWrap/>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790" w:type="dxa"/>
            <w:vMerge w:val="continue"/>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失信情况</w:t>
            </w:r>
          </w:p>
        </w:tc>
        <w:tc>
          <w:tcPr>
            <w:tcW w:w="1303"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14.失信扣分项</w:t>
            </w:r>
          </w:p>
        </w:tc>
        <w:tc>
          <w:tcPr>
            <w:tcW w:w="3949" w:type="dxa"/>
            <w:noWrap/>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信用主体在医疗保障领域违反有关法律、法规、规章或服务协议等，受到县级及以上医疗保障部门及其授权委托的机构处理；信用主体违反价格、招标和挂网规则，违背守信承诺和购销合同，在医药购销中存在给予回扣或其他不正当利益等情形，扰乱药品和医用耗材集中采购秩序的；涉及医疗保障领域的纪检、公安、司法、市场监管等相关部门处理的失信信息；经相关部门认定的其他相关失信信息</w:t>
            </w:r>
          </w:p>
        </w:tc>
        <w:tc>
          <w:tcPr>
            <w:tcW w:w="190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存在失信行为的，按部门每部门扣10分</w:t>
            </w:r>
          </w:p>
        </w:tc>
        <w:tc>
          <w:tcPr>
            <w:tcW w:w="1455" w:type="dxa"/>
            <w:noWrap/>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90" w:type="dxa"/>
            <w:vMerge w:val="restart"/>
            <w:shd w:val="clear" w:color="auto" w:fill="auto"/>
            <w:noWrap/>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违法</w:t>
            </w:r>
          </w:p>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违约</w:t>
            </w:r>
          </w:p>
        </w:tc>
        <w:tc>
          <w:tcPr>
            <w:tcW w:w="1082" w:type="dxa"/>
            <w:vMerge w:val="restart"/>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方正公文仿宋" w:eastAsia="仿宋_GB2312" w:cs="方正公文仿宋"/>
                <w:color w:val="auto"/>
                <w:sz w:val="20"/>
                <w:szCs w:val="20"/>
                <w:lang w:bidi="ar"/>
              </w:rPr>
              <w:t>违反《医疗保障基金使用监督管理条例》第三十八、三十九条</w:t>
            </w:r>
          </w:p>
        </w:tc>
        <w:tc>
          <w:tcPr>
            <w:tcW w:w="1303"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15.转卖药品</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为参保人员利用其享受医疗保障待遇的机会转卖药品，接受返还现金、实物或者获得其他非法利益提供便利</w:t>
            </w:r>
          </w:p>
        </w:tc>
        <w:tc>
          <w:tcPr>
            <w:tcW w:w="1902"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扣20分/次</w:t>
            </w:r>
          </w:p>
        </w:tc>
        <w:tc>
          <w:tcPr>
            <w:tcW w:w="1455"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89"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16.违规结算</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eastAsia="zh-CN" w:bidi="ar"/>
              </w:rPr>
            </w:pPr>
            <w:r>
              <w:rPr>
                <w:rStyle w:val="5"/>
                <w:rFonts w:hint="eastAsia" w:ascii="仿宋_GB2312" w:hAnsi="仿宋" w:eastAsia="仿宋_GB2312" w:cs="仿宋"/>
                <w:color w:val="auto"/>
                <w:lang w:bidi="ar"/>
              </w:rPr>
              <w:t>将不属于医疗保障基金支付范围的医药费用纳入医疗保障基金结算</w:t>
            </w:r>
          </w:p>
        </w:tc>
        <w:tc>
          <w:tcPr>
            <w:tcW w:w="190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noWrap w:val="0"/>
            <w:tcMar>
              <w:left w:w="85"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扣20分/次</w:t>
            </w:r>
          </w:p>
        </w:tc>
        <w:tc>
          <w:tcPr>
            <w:tcW w:w="1455" w:type="dxa"/>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89"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17.拒绝检查</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eastAsia="zh-CN" w:bidi="ar"/>
              </w:rPr>
            </w:pPr>
            <w:r>
              <w:rPr>
                <w:rStyle w:val="5"/>
                <w:rFonts w:hint="eastAsia" w:ascii="仿宋_GB2312" w:hAnsi="仿宋" w:eastAsia="仿宋_GB2312" w:cs="仿宋"/>
                <w:color w:val="auto"/>
                <w:lang w:bidi="ar"/>
              </w:rPr>
              <w:t>拒绝医疗保障等行政部门监督检查或者提供虚假情况</w:t>
            </w:r>
          </w:p>
        </w:tc>
        <w:tc>
          <w:tcPr>
            <w:tcW w:w="1902"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扣20分/次</w:t>
            </w:r>
          </w:p>
        </w:tc>
        <w:tc>
          <w:tcPr>
            <w:tcW w:w="1455" w:type="dxa"/>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89"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restart"/>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方正公文仿宋" w:eastAsia="仿宋_GB2312" w:cs="方正公文仿宋"/>
                <w:color w:val="auto"/>
                <w:sz w:val="20"/>
                <w:szCs w:val="20"/>
                <w:lang w:bidi="ar"/>
              </w:rPr>
              <w:t>违反《医疗保障基金使用监督管理条例》第四十条</w:t>
            </w: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18.协助骗保</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eastAsia="zh-CN" w:bidi="ar"/>
              </w:rPr>
            </w:pPr>
            <w:r>
              <w:rPr>
                <w:rStyle w:val="5"/>
                <w:rFonts w:hint="eastAsia" w:ascii="仿宋_GB2312" w:hAnsi="仿宋" w:eastAsia="仿宋_GB2312" w:cs="仿宋"/>
                <w:color w:val="auto"/>
                <w:lang w:bidi="ar"/>
              </w:rPr>
              <w:t>诱导、协助他人冒名或者虚假就医、购药，提供虚假证明材料，或者串通他人虚开费用单据</w:t>
            </w:r>
          </w:p>
        </w:tc>
        <w:tc>
          <w:tcPr>
            <w:tcW w:w="1902" w:type="dxa"/>
            <w:vMerge w:val="restart"/>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Fonts w:hint="eastAsia" w:ascii="仿宋_GB2312" w:hAnsi="仿宋" w:eastAsia="仿宋_GB2312" w:cs="仿宋"/>
                <w:color w:val="auto"/>
                <w:sz w:val="20"/>
                <w:szCs w:val="20"/>
                <w:lang w:bidi="ar"/>
              </w:rPr>
              <w:t>门诊慢病服务所、补充医疗保障所采集录入+医保基金监督或稽核内控部审核</w:t>
            </w:r>
          </w:p>
        </w:tc>
        <w:tc>
          <w:tcPr>
            <w:tcW w:w="866" w:type="dxa"/>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扣60分/次</w:t>
            </w:r>
          </w:p>
        </w:tc>
        <w:tc>
          <w:tcPr>
            <w:tcW w:w="1455" w:type="dxa"/>
            <w:vMerge w:val="restart"/>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89"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19.恶意骗保</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eastAsia="zh-CN" w:bidi="ar"/>
              </w:rPr>
            </w:pPr>
            <w:r>
              <w:rPr>
                <w:rStyle w:val="5"/>
                <w:rFonts w:hint="eastAsia" w:ascii="仿宋_GB2312" w:hAnsi="仿宋" w:eastAsia="仿宋_GB2312" w:cs="仿宋"/>
                <w:color w:val="auto"/>
                <w:lang w:bidi="ar"/>
              </w:rPr>
              <w:t>伪造、变造、隐匿、涂改、销毁医学文书、医学证明、会计凭证、电子信息等有关资料；虚构医药服务项目</w:t>
            </w:r>
          </w:p>
        </w:tc>
        <w:tc>
          <w:tcPr>
            <w:tcW w:w="1902" w:type="dxa"/>
            <w:vMerge w:val="continue"/>
            <w:shd w:val="clear" w:color="auto" w:fill="auto"/>
            <w:noWrap w:val="0"/>
            <w:tcMar>
              <w:top w:w="0" w:type="dxa"/>
              <w:left w:w="85" w:type="dxa"/>
              <w:bottom w:w="0" w:type="dxa"/>
              <w:right w:w="85" w:type="dxa"/>
            </w:tcMar>
            <w:vAlign w:val="center"/>
          </w:tcPr>
          <w:p>
            <w:pPr>
              <w:kinsoku/>
              <w:jc w:val="both"/>
              <w:textAlignment w:val="center"/>
              <w:rPr>
                <w:rFonts w:hint="eastAsia" w:ascii="仿宋_GB2312" w:hAnsi="仿宋" w:eastAsia="仿宋_GB2312" w:cs="仿宋"/>
                <w:color w:val="auto"/>
                <w:sz w:val="20"/>
                <w:szCs w:val="20"/>
                <w:lang w:bidi="ar"/>
              </w:rPr>
            </w:pPr>
          </w:p>
        </w:tc>
        <w:tc>
          <w:tcPr>
            <w:tcW w:w="866" w:type="dxa"/>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1455" w:type="dxa"/>
            <w:vMerge w:val="continue"/>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89" w:type="dxa"/>
            <w:vMerge w:val="continue"/>
            <w:shd w:val="clear" w:color="auto" w:fill="auto"/>
            <w:noWrap w:val="0"/>
            <w:tcMar>
              <w:left w:w="85"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082" w:type="dxa"/>
            <w:vMerge w:val="continue"/>
            <w:shd w:val="clear" w:color="auto" w:fill="auto"/>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c>
          <w:tcPr>
            <w:tcW w:w="1303"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20.其他骗保</w:t>
            </w:r>
          </w:p>
        </w:tc>
        <w:tc>
          <w:tcPr>
            <w:tcW w:w="3949" w:type="dxa"/>
            <w:shd w:val="clear" w:color="auto" w:fill="FFFFFF"/>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1、以骗取医疗保障基金为目的，实施了医疗保障基金使用监督管理条例第</w:t>
            </w:r>
            <w:r>
              <w:rPr>
                <w:rStyle w:val="5"/>
                <w:rFonts w:hint="eastAsia" w:ascii="仿宋_GB2312" w:hAnsi="仿宋" w:eastAsia="仿宋_GB2312" w:cs="仿宋"/>
                <w:color w:val="auto"/>
                <w:lang w:eastAsia="zh-CN" w:bidi="ar"/>
              </w:rPr>
              <w:t>四十条</w:t>
            </w:r>
            <w:r>
              <w:rPr>
                <w:rStyle w:val="5"/>
                <w:rFonts w:hint="eastAsia" w:ascii="仿宋_GB2312" w:hAnsi="仿宋" w:eastAsia="仿宋_GB2312" w:cs="仿宋"/>
                <w:color w:val="auto"/>
                <w:lang w:bidi="ar"/>
              </w:rPr>
              <w:t>行为之一，造成医疗保障基金损失的</w:t>
            </w:r>
            <w:r>
              <w:rPr>
                <w:rStyle w:val="5"/>
                <w:rFonts w:hint="eastAsia" w:ascii="仿宋_GB2312" w:hAnsi="仿宋" w:eastAsia="仿宋_GB2312" w:cs="仿宋"/>
                <w:color w:val="auto"/>
                <w:lang w:bidi="ar"/>
              </w:rPr>
              <w:br w:type="textWrapping"/>
            </w:r>
            <w:r>
              <w:rPr>
                <w:rStyle w:val="5"/>
                <w:rFonts w:hint="eastAsia" w:ascii="仿宋_GB2312" w:hAnsi="仿宋" w:eastAsia="仿宋_GB2312" w:cs="仿宋"/>
                <w:color w:val="auto"/>
                <w:lang w:bidi="ar"/>
              </w:rPr>
              <w:t>2、其他骗取医疗保障基金支出的行为</w:t>
            </w:r>
          </w:p>
          <w:p>
            <w:pPr>
              <w:kinsoku/>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 xml:space="preserve">  </w:t>
            </w:r>
          </w:p>
        </w:tc>
        <w:tc>
          <w:tcPr>
            <w:tcW w:w="1902" w:type="dxa"/>
            <w:vMerge w:val="continue"/>
            <w:shd w:val="clear" w:color="auto" w:fill="auto"/>
            <w:noWrap w:val="0"/>
            <w:tcMar>
              <w:top w:w="0" w:type="dxa"/>
              <w:left w:w="85" w:type="dxa"/>
              <w:bottom w:w="0" w:type="dxa"/>
              <w:right w:w="85" w:type="dxa"/>
            </w:tcMar>
            <w:vAlign w:val="center"/>
          </w:tcPr>
          <w:p>
            <w:pPr>
              <w:kinsoku/>
              <w:jc w:val="both"/>
              <w:textAlignment w:val="center"/>
              <w:rPr>
                <w:rFonts w:hint="eastAsia" w:ascii="仿宋_GB2312" w:hAnsi="仿宋" w:eastAsia="仿宋_GB2312" w:cs="仿宋"/>
                <w:color w:val="auto"/>
                <w:sz w:val="20"/>
                <w:szCs w:val="20"/>
                <w:lang w:bidi="ar"/>
              </w:rPr>
            </w:pPr>
          </w:p>
        </w:tc>
        <w:tc>
          <w:tcPr>
            <w:tcW w:w="866" w:type="dxa"/>
            <w:shd w:val="clear" w:color="auto" w:fill="FFFFFF"/>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p>
        </w:tc>
        <w:tc>
          <w:tcPr>
            <w:tcW w:w="2881" w:type="dxa"/>
            <w:noWrap w:val="0"/>
            <w:tcMar>
              <w:top w:w="0" w:type="dxa"/>
              <w:left w:w="85" w:type="dxa"/>
              <w:bottom w:w="0" w:type="dxa"/>
              <w:right w:w="85" w:type="dxa"/>
            </w:tcMar>
            <w:vAlign w:val="center"/>
          </w:tcPr>
          <w:p>
            <w:pPr>
              <w:kinsoku/>
              <w:jc w:val="center"/>
              <w:textAlignment w:val="center"/>
              <w:rPr>
                <w:rStyle w:val="5"/>
                <w:rFonts w:hint="eastAsia" w:ascii="仿宋_GB2312" w:hAnsi="仿宋" w:eastAsia="仿宋_GB2312" w:cs="仿宋"/>
                <w:color w:val="auto"/>
                <w:lang w:bidi="ar"/>
              </w:rPr>
            </w:pPr>
            <w:r>
              <w:rPr>
                <w:rStyle w:val="5"/>
                <w:rFonts w:hint="eastAsia" w:ascii="仿宋_GB2312" w:hAnsi="仿宋" w:eastAsia="仿宋_GB2312" w:cs="仿宋"/>
                <w:color w:val="auto"/>
                <w:lang w:bidi="ar"/>
              </w:rPr>
              <w:t>扣60分/次</w:t>
            </w:r>
          </w:p>
        </w:tc>
        <w:tc>
          <w:tcPr>
            <w:tcW w:w="1455" w:type="dxa"/>
            <w:vMerge w:val="continue"/>
            <w:noWrap w:val="0"/>
            <w:tcMar>
              <w:top w:w="0" w:type="dxa"/>
              <w:left w:w="85" w:type="dxa"/>
              <w:bottom w:w="0" w:type="dxa"/>
              <w:right w:w="85" w:type="dxa"/>
            </w:tcMar>
            <w:vAlign w:val="center"/>
          </w:tcPr>
          <w:p>
            <w:pPr>
              <w:kinsoku/>
              <w:jc w:val="both"/>
              <w:textAlignment w:val="center"/>
              <w:rPr>
                <w:rStyle w:val="5"/>
                <w:rFonts w:hint="eastAsia" w:ascii="仿宋_GB2312" w:hAnsi="仿宋" w:eastAsia="仿宋_GB2312" w:cs="仿宋"/>
                <w:color w:val="auto"/>
                <w:lang w:bidi="ar"/>
              </w:rPr>
            </w:pPr>
          </w:p>
        </w:tc>
      </w:tr>
    </w:tbl>
    <w:p>
      <w:pPr>
        <w:pStyle w:val="2"/>
        <w:rPr>
          <w:color w:val="auto"/>
          <w:sz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YjQxMDE0NmY0NjkxNDJkNWMwNDdhZDAwMWYyMDYifQ=="/>
  </w:docVars>
  <w:rsids>
    <w:rsidRoot w:val="00000000"/>
    <w:rsid w:val="38BD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snapToGrid w:val="0"/>
      <w:jc w:val="left"/>
    </w:pPr>
    <w:rPr>
      <w:sz w:val="18"/>
      <w:szCs w:val="18"/>
    </w:rPr>
  </w:style>
  <w:style w:type="character" w:customStyle="1" w:styleId="5">
    <w:name w:val="font71"/>
    <w:basedOn w:val="4"/>
    <w:qFormat/>
    <w:uiPriority w:val="0"/>
    <w:rPr>
      <w:rFonts w:hint="default" w:ascii="方正公文仿宋" w:hAnsi="方正公文仿宋" w:eastAsia="方正公文仿宋" w:cs="方正公文仿宋"/>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2023-07-26T02:15:29Z</dcterms:created>
  <dc:creator>Administrator</dc:creator>
  <cp:lastModifiedBy>哈里.奥弗斯特里特</cp:lastModifiedBy>
  <dcterms:modified xsi:type="dcterms:W3CDTF">2023-07-26T02:16:11Z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7FE67894818944EDB0D9A1097F30DE5B_12</vt:lpwstr>
  </property>
</Properties>
</file>